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07172" w14:textId="7D1397D1" w:rsidR="001658AA" w:rsidRPr="00470C7D" w:rsidRDefault="001658AA" w:rsidP="001658AA">
      <w:pPr>
        <w:spacing w:line="36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¿Qué debe hacer la comunidad LG</w:t>
      </w:r>
      <w:r w:rsidR="00B439DF">
        <w:rPr>
          <w:rFonts w:ascii="Arial" w:hAnsi="Arial"/>
          <w:b/>
          <w:bCs/>
          <w:sz w:val="24"/>
        </w:rPr>
        <w:t>BTQ</w:t>
      </w:r>
      <w:r>
        <w:rPr>
          <w:rFonts w:ascii="Arial" w:hAnsi="Arial"/>
          <w:b/>
          <w:bCs/>
          <w:sz w:val="24"/>
        </w:rPr>
        <w:t xml:space="preserve"> </w:t>
      </w:r>
      <w:r w:rsidRPr="00470C7D">
        <w:rPr>
          <w:rFonts w:ascii="Arial" w:hAnsi="Arial"/>
          <w:b/>
          <w:bCs/>
          <w:sz w:val="24"/>
        </w:rPr>
        <w:t>en el contexto de Covid-19?</w:t>
      </w:r>
    </w:p>
    <w:p w14:paraId="4FBCD990" w14:textId="77777777" w:rsidR="001658AA" w:rsidRPr="00470C7D" w:rsidRDefault="001658AA" w:rsidP="001658AA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 xml:space="preserve">Autor: </w:t>
      </w:r>
    </w:p>
    <w:p w14:paraId="1AF3372A" w14:textId="77777777" w:rsidR="001658AA" w:rsidRPr="00470C7D" w:rsidRDefault="001658AA" w:rsidP="001658AA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Dr. C Antonio J. Caballero Moreno</w:t>
      </w:r>
    </w:p>
    <w:p w14:paraId="7F981587" w14:textId="77777777" w:rsidR="001658AA" w:rsidRPr="00470C7D" w:rsidRDefault="001658AA" w:rsidP="001658AA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Profesor e Investigador Titular</w:t>
      </w:r>
    </w:p>
    <w:p w14:paraId="087EE2FE" w14:textId="77777777" w:rsidR="001658AA" w:rsidRPr="00470C7D" w:rsidRDefault="001658AA" w:rsidP="001658AA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Grupo Nacional de Psiquiatría</w:t>
      </w:r>
    </w:p>
    <w:p w14:paraId="06D6E2FF" w14:textId="77777777" w:rsidR="001658AA" w:rsidRDefault="001658AA" w:rsidP="001658AA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Sección de Neurociencias SCP</w:t>
      </w:r>
    </w:p>
    <w:p w14:paraId="7CCF175E" w14:textId="476F6C58" w:rsidR="001658AA" w:rsidRDefault="001658AA" w:rsidP="001658AA">
      <w:pPr>
        <w:spacing w:line="36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Concepto</w:t>
      </w:r>
    </w:p>
    <w:p w14:paraId="26D5D1C0" w14:textId="14CC3DE8" w:rsidR="008F4946" w:rsidRPr="008F4946" w:rsidRDefault="008F4946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8F4946">
        <w:rPr>
          <w:rFonts w:ascii="Arial" w:eastAsia="TimesNewRomanPSMT" w:hAnsi="Arial" w:cs="TimesNewRomanPSMT"/>
          <w:sz w:val="24"/>
          <w:szCs w:val="27"/>
        </w:rPr>
        <w:t>El t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 xml:space="preserve">rmino </w:t>
      </w:r>
      <w:r w:rsidRPr="008F4946">
        <w:rPr>
          <w:rFonts w:ascii="Arial" w:eastAsia="TimesNewRomanPS-ItalicMT" w:hAnsi="Arial" w:cs="TimesNewRomanPS-ItalicMT"/>
          <w:iCs/>
          <w:sz w:val="24"/>
          <w:szCs w:val="27"/>
        </w:rPr>
        <w:t>identidad de g</w:t>
      </w:r>
      <w:r w:rsidRPr="008F4946">
        <w:rPr>
          <w:rFonts w:ascii="Arial" w:eastAsia="TimesNewRomanPS-ItalicMT" w:hAnsi="Arial" w:cs="TimesNewRomanPS-ItalicMT" w:hint="eastAsia"/>
          <w:iCs/>
          <w:sz w:val="24"/>
          <w:szCs w:val="27"/>
        </w:rPr>
        <w:t>é</w:t>
      </w:r>
      <w:r w:rsidRPr="008F4946">
        <w:rPr>
          <w:rFonts w:ascii="Arial" w:eastAsia="TimesNewRomanPS-ItalicMT" w:hAnsi="Arial" w:cs="TimesNewRomanPS-ItalicMT"/>
          <w:iCs/>
          <w:sz w:val="24"/>
          <w:szCs w:val="27"/>
        </w:rPr>
        <w:t xml:space="preserve">nero </w:t>
      </w:r>
      <w:r w:rsidRPr="008F4946">
        <w:rPr>
          <w:rFonts w:ascii="Arial" w:eastAsia="TimesNewRomanPSMT" w:hAnsi="Arial" w:cs="TimesNewRomanPSMT"/>
          <w:sz w:val="24"/>
          <w:szCs w:val="27"/>
        </w:rPr>
        <w:t>se refiere a la identificaci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n del individuo como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var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n o mujer, que la mayor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8F4946">
        <w:rPr>
          <w:rFonts w:ascii="Arial" w:eastAsia="TimesNewRomanPSMT" w:hAnsi="Arial" w:cs="TimesNewRomanPSMT"/>
          <w:sz w:val="24"/>
          <w:szCs w:val="27"/>
        </w:rPr>
        <w:t>a de las veces se corresponde con el sexo anat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mico.</w:t>
      </w:r>
    </w:p>
    <w:p w14:paraId="3E91FBFD" w14:textId="06987F94" w:rsidR="008F4946" w:rsidRPr="008F4946" w:rsidRDefault="008F4946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8F4946">
        <w:rPr>
          <w:rFonts w:ascii="Arial" w:eastAsia="TimesNewRomanPSMT" w:hAnsi="Arial" w:cs="TimesNewRomanPSMT"/>
          <w:sz w:val="24"/>
          <w:szCs w:val="27"/>
        </w:rPr>
        <w:t>Los individuos con disforia de 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>nero expresan su descontento con el sexo asignado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como un deseo de tener el cuerpo del otro sexo o de ser apreciados socialmente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como personas del sexo opuesto.</w:t>
      </w:r>
    </w:p>
    <w:p w14:paraId="017CED35" w14:textId="77777777" w:rsidR="008F4946" w:rsidRPr="008F4946" w:rsidRDefault="008F4946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8F4946">
        <w:rPr>
          <w:rFonts w:ascii="Arial" w:eastAsia="TimesNewRomanPSMT" w:hAnsi="Arial" w:cs="TimesNewRomanPSMT"/>
          <w:sz w:val="24"/>
          <w:szCs w:val="27"/>
        </w:rPr>
        <w:t xml:space="preserve">La palabra </w:t>
      </w:r>
      <w:r w:rsidRPr="008F4946">
        <w:rPr>
          <w:rFonts w:ascii="Arial" w:eastAsia="TimesNewRomanPS-ItalicMT" w:hAnsi="Arial" w:cs="TimesNewRomanPS-ItalicMT"/>
          <w:iCs/>
          <w:sz w:val="24"/>
          <w:szCs w:val="27"/>
        </w:rPr>
        <w:t>transg</w:t>
      </w:r>
      <w:r w:rsidRPr="008F4946">
        <w:rPr>
          <w:rFonts w:ascii="Arial" w:eastAsia="TimesNewRomanPS-ItalicMT" w:hAnsi="Arial" w:cs="TimesNewRomanPS-ItalicMT" w:hint="eastAsia"/>
          <w:iCs/>
          <w:sz w:val="24"/>
          <w:szCs w:val="27"/>
        </w:rPr>
        <w:t>é</w:t>
      </w:r>
      <w:r w:rsidRPr="008F4946">
        <w:rPr>
          <w:rFonts w:ascii="Arial" w:eastAsia="TimesNewRomanPS-ItalicMT" w:hAnsi="Arial" w:cs="TimesNewRomanPS-ItalicMT"/>
          <w:iCs/>
          <w:sz w:val="24"/>
          <w:szCs w:val="27"/>
        </w:rPr>
        <w:t xml:space="preserve">nero </w:t>
      </w:r>
      <w:r w:rsidRPr="008F4946">
        <w:rPr>
          <w:rFonts w:ascii="Arial" w:eastAsia="TimesNewRomanPSMT" w:hAnsi="Arial" w:cs="TimesNewRomanPSMT"/>
          <w:sz w:val="24"/>
          <w:szCs w:val="27"/>
        </w:rPr>
        <w:t>es un t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>rmino general que alude a quienes se identifican</w:t>
      </w:r>
    </w:p>
    <w:p w14:paraId="189C5159" w14:textId="0AA1CEDE" w:rsidR="008F4946" w:rsidRDefault="008F4946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8F4946">
        <w:rPr>
          <w:rFonts w:ascii="Arial" w:eastAsia="TimesNewRomanPSMT" w:hAnsi="Arial" w:cs="TimesNewRomanPSMT"/>
          <w:sz w:val="24"/>
          <w:szCs w:val="27"/>
        </w:rPr>
        <w:t>con un 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>nero distinto al que ten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8F4946">
        <w:rPr>
          <w:rFonts w:ascii="Arial" w:eastAsia="TimesNewRomanPSMT" w:hAnsi="Arial" w:cs="TimesNewRomanPSMT"/>
          <w:sz w:val="24"/>
          <w:szCs w:val="27"/>
        </w:rPr>
        <w:t>an al nacer (o 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>nero asignado). El grupo de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persona</w:t>
      </w:r>
      <w:r>
        <w:rPr>
          <w:rFonts w:ascii="Arial" w:eastAsia="TimesNewRomanPSMT" w:hAnsi="Arial" w:cs="TimesNewRomanPSMT"/>
          <w:sz w:val="24"/>
          <w:szCs w:val="27"/>
        </w:rPr>
        <w:t>s</w:t>
      </w:r>
      <w:r w:rsidRPr="008F4946">
        <w:rPr>
          <w:rFonts w:ascii="Arial" w:eastAsia="TimesNewRomanPSMT" w:hAnsi="Arial" w:cs="TimesNewRomanPSMT"/>
          <w:sz w:val="24"/>
          <w:szCs w:val="27"/>
        </w:rPr>
        <w:t xml:space="preserve"> transgénero es diverso: est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8F4946">
        <w:rPr>
          <w:rFonts w:ascii="Arial" w:eastAsia="TimesNewRomanPSMT" w:hAnsi="Arial" w:cs="TimesNewRomanPSMT"/>
          <w:sz w:val="24"/>
          <w:szCs w:val="27"/>
        </w:rPr>
        <w:t>n quienes quisieran tener el cuerpo del otro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 xml:space="preserve">sexo, conocidos como </w:t>
      </w:r>
      <w:r w:rsidRPr="008F4946">
        <w:rPr>
          <w:rFonts w:ascii="Arial" w:eastAsia="TimesNewRomanPS-ItalicMT" w:hAnsi="Arial" w:cs="TimesNewRomanPS-ItalicMT"/>
          <w:iCs/>
          <w:sz w:val="24"/>
          <w:szCs w:val="27"/>
        </w:rPr>
        <w:t>transexuales</w:t>
      </w:r>
      <w:r w:rsidRPr="008F4946">
        <w:rPr>
          <w:rFonts w:ascii="Arial" w:eastAsia="TimesNewRomanPSMT" w:hAnsi="Arial" w:cs="TimesNewRomanPSMT"/>
          <w:sz w:val="24"/>
          <w:szCs w:val="27"/>
        </w:rPr>
        <w:t>; quienes se sienten entre los dos 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>neros, de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 xml:space="preserve">ambos sexos o de ninguno, denominados </w:t>
      </w:r>
      <w:r w:rsidRPr="008F4946">
        <w:rPr>
          <w:rFonts w:ascii="Arial" w:eastAsia="TimesNewRomanPS-ItalicMT" w:hAnsi="Arial" w:cs="TimesNewRomanPS-ItalicMT"/>
          <w:iCs/>
          <w:sz w:val="24"/>
          <w:szCs w:val="27"/>
        </w:rPr>
        <w:t xml:space="preserve">Inter género </w:t>
      </w:r>
      <w:r w:rsidRPr="008F4946">
        <w:rPr>
          <w:rFonts w:ascii="Arial" w:eastAsia="TimesNewRomanPSMT" w:hAnsi="Arial" w:cs="TimesNewRomanPSMT"/>
          <w:sz w:val="24"/>
          <w:szCs w:val="27"/>
        </w:rPr>
        <w:t>(</w:t>
      </w:r>
      <w:r w:rsidRPr="008F4946">
        <w:rPr>
          <w:rFonts w:ascii="Arial" w:eastAsia="TimesNewRomanPS-ItalicMT" w:hAnsi="Arial" w:cs="TimesNewRomanPS-ItalicMT"/>
          <w:iCs/>
          <w:sz w:val="24"/>
          <w:szCs w:val="27"/>
        </w:rPr>
        <w:t>genderqueer</w:t>
      </w:r>
      <w:r w:rsidRPr="008F4946">
        <w:rPr>
          <w:rFonts w:ascii="Arial" w:eastAsia="TimesNewRomanPSMT" w:hAnsi="Arial" w:cs="TimesNewRomanPSMT"/>
          <w:sz w:val="24"/>
          <w:szCs w:val="27"/>
        </w:rPr>
        <w:t>), y quienes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visten ropas tradicionalmente asociadas con el otro 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>nero, pero mantienen la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identidad de 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 xml:space="preserve">nero natal o asignada, conocidos como </w:t>
      </w:r>
      <w:r w:rsidRPr="008F4946">
        <w:rPr>
          <w:rFonts w:ascii="Arial" w:eastAsia="TimesNewRomanPS-ItalicMT" w:hAnsi="Arial" w:cs="TimesNewRomanPS-ItalicMT"/>
          <w:iCs/>
          <w:sz w:val="24"/>
          <w:szCs w:val="27"/>
        </w:rPr>
        <w:t>travestidos</w:t>
      </w:r>
      <w:r w:rsidRPr="008F4946">
        <w:rPr>
          <w:rFonts w:ascii="Arial" w:eastAsia="TimesNewRomanPSMT" w:hAnsi="Arial" w:cs="TimesNewRomanPSMT"/>
          <w:sz w:val="24"/>
          <w:szCs w:val="27"/>
        </w:rPr>
        <w:t>. Al contrario de la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creencia popular, la mayor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8F4946">
        <w:rPr>
          <w:rFonts w:ascii="Arial" w:eastAsia="TimesNewRomanPSMT" w:hAnsi="Arial" w:cs="TimesNewRomanPSMT"/>
          <w:sz w:val="24"/>
          <w:szCs w:val="27"/>
        </w:rPr>
        <w:t>a de las personas transg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>nero no se someten a cirug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8F4946">
        <w:rPr>
          <w:rFonts w:ascii="Arial" w:eastAsia="TimesNewRomanPSMT" w:hAnsi="Arial" w:cs="TimesNewRomanPSMT"/>
          <w:sz w:val="24"/>
          <w:szCs w:val="27"/>
        </w:rPr>
        <w:t>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genital. Algunas no lo desean y otras no se lo pueden permitir. Las personas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transgéneras pueden ser de cualquier orientaci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n sexual. Por ejemplo, un var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transg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8F4946">
        <w:rPr>
          <w:rFonts w:ascii="Arial" w:eastAsia="TimesNewRomanPSMT" w:hAnsi="Arial" w:cs="TimesNewRomanPSMT"/>
          <w:sz w:val="24"/>
          <w:szCs w:val="27"/>
        </w:rPr>
        <w:t>nero, de asignaci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n femenina al nacer, se puede identificar como gay u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homosexual (con atracci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n por los varones o androfilia), ordinario (con atracci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8F4946">
        <w:rPr>
          <w:rFonts w:ascii="Arial" w:eastAsia="TimesNewRomanPSMT" w:hAnsi="Arial" w:cs="TimesNewRomanPSMT"/>
          <w:sz w:val="24"/>
          <w:szCs w:val="27"/>
        </w:rPr>
        <w:t>por las mujeres o gineco filia) o bisexual (con atracci</w:t>
      </w:r>
      <w:r w:rsidRPr="008F4946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8F4946">
        <w:rPr>
          <w:rFonts w:ascii="Arial" w:eastAsia="TimesNewRomanPSMT" w:hAnsi="Arial" w:cs="TimesNewRomanPSMT"/>
          <w:sz w:val="24"/>
          <w:szCs w:val="27"/>
        </w:rPr>
        <w:t>n por ambos sexos).</w:t>
      </w:r>
    </w:p>
    <w:p w14:paraId="7C89C80D" w14:textId="4CCC9DC6" w:rsidR="008F4946" w:rsidRDefault="008F4946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</w:p>
    <w:p w14:paraId="7DE2E8A1" w14:textId="77777777" w:rsidR="00A6406E" w:rsidRDefault="00A6406E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</w:p>
    <w:p w14:paraId="6C058060" w14:textId="77777777" w:rsidR="00A6406E" w:rsidRDefault="00A6406E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</w:p>
    <w:p w14:paraId="64ABA641" w14:textId="77777777" w:rsidR="00A6406E" w:rsidRDefault="00A6406E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</w:p>
    <w:p w14:paraId="60CD82EE" w14:textId="2A1AE40E" w:rsidR="008F4946" w:rsidRDefault="008F4946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  <w:r w:rsidRPr="008F4946">
        <w:rPr>
          <w:rFonts w:ascii="Arial" w:eastAsia="TimesNewRomanPSMT" w:hAnsi="Arial" w:cs="TimesNewRomanPSMT"/>
          <w:b/>
          <w:bCs/>
          <w:sz w:val="24"/>
          <w:szCs w:val="27"/>
        </w:rPr>
        <w:lastRenderedPageBreak/>
        <w:t>Disforia de Género</w:t>
      </w:r>
      <w:r>
        <w:rPr>
          <w:rFonts w:ascii="Arial" w:eastAsia="TimesNewRomanPSMT" w:hAnsi="Arial" w:cs="TimesNewRomanPSMT"/>
          <w:b/>
          <w:bCs/>
          <w:sz w:val="24"/>
          <w:szCs w:val="27"/>
        </w:rPr>
        <w:t xml:space="preserve"> en Adolescentes y Adultos</w:t>
      </w:r>
    </w:p>
    <w:p w14:paraId="24D25FB5" w14:textId="35AE59FA" w:rsidR="008F4946" w:rsidRDefault="008F4946" w:rsidP="008F494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</w:p>
    <w:p w14:paraId="3C70DFFD" w14:textId="2806A1EB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Roman"/>
          <w:sz w:val="24"/>
          <w:szCs w:val="16"/>
        </w:rPr>
      </w:pPr>
      <w:r w:rsidRPr="00A6406E">
        <w:rPr>
          <w:rFonts w:ascii="Arial" w:hAnsi="Arial" w:cs="HelveticaLTStd-Roman"/>
          <w:sz w:val="24"/>
          <w:szCs w:val="16"/>
        </w:rPr>
        <w:t>A. Una marcada incongruencia entre el sexo que uno siente o expresa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y el que se le asigna, de una duración mínima de seis meses,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manifestada por un mínimo de dos de las características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siguientes:</w:t>
      </w:r>
    </w:p>
    <w:p w14:paraId="59E4CABB" w14:textId="044C052D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Roman"/>
          <w:sz w:val="24"/>
          <w:szCs w:val="16"/>
        </w:rPr>
      </w:pPr>
      <w:r w:rsidRPr="00A6406E">
        <w:rPr>
          <w:rFonts w:ascii="Arial" w:hAnsi="Arial" w:cs="HelveticaLTStd-Roman"/>
          <w:sz w:val="24"/>
          <w:szCs w:val="16"/>
        </w:rPr>
        <w:t>1. Una marcada incongruencia entre el sexo que uno siente o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expresa y sus caracteres sexuales primarios o secundarios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(o en los adolescentes jóvenes, los caracteres sexuales secundarios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previstos).</w:t>
      </w:r>
    </w:p>
    <w:p w14:paraId="505A01D5" w14:textId="165B6979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Roman"/>
          <w:sz w:val="24"/>
          <w:szCs w:val="16"/>
        </w:rPr>
      </w:pPr>
      <w:r w:rsidRPr="00A6406E">
        <w:rPr>
          <w:rFonts w:ascii="Arial" w:hAnsi="Arial" w:cs="HelveticaLTStd-Roman"/>
          <w:sz w:val="24"/>
          <w:szCs w:val="16"/>
        </w:rPr>
        <w:t>2. Un fuerte deseo por desprenderse de los caracteres sexuales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propios primarios o secundarios, a causa de una marcada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incongruencia con el sexo que se siente o se expresa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(o en adolescentes jóvenes, un deseo de impedir el desarrollo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que los caracteres sexuales secundarios previstos).</w:t>
      </w:r>
    </w:p>
    <w:p w14:paraId="6671E1DC" w14:textId="6D3023DA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Roman"/>
          <w:sz w:val="24"/>
          <w:szCs w:val="16"/>
        </w:rPr>
      </w:pPr>
      <w:r w:rsidRPr="00A6406E">
        <w:rPr>
          <w:rFonts w:ascii="Arial" w:hAnsi="Arial" w:cs="HelveticaLTStd-Roman"/>
          <w:sz w:val="24"/>
          <w:szCs w:val="16"/>
        </w:rPr>
        <w:t>3. Un fuerte deseo por poseer los caracteres sexuales, tanto primarios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como secundarios, correspondientes al sexo opuesto.</w:t>
      </w:r>
    </w:p>
    <w:p w14:paraId="2E076AB7" w14:textId="21958D60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Roman"/>
          <w:sz w:val="24"/>
          <w:szCs w:val="16"/>
        </w:rPr>
      </w:pPr>
      <w:r w:rsidRPr="00A6406E">
        <w:rPr>
          <w:rFonts w:ascii="Arial" w:hAnsi="Arial" w:cs="HelveticaLTStd-Roman"/>
          <w:sz w:val="24"/>
          <w:szCs w:val="16"/>
        </w:rPr>
        <w:t>4. Un fuerte deseo de ser del otro sexo (o de un sexo alternativo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distinto del que se le asigna).</w:t>
      </w:r>
    </w:p>
    <w:p w14:paraId="222DB1C3" w14:textId="77129AD3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Roman"/>
          <w:sz w:val="24"/>
          <w:szCs w:val="16"/>
        </w:rPr>
      </w:pPr>
      <w:r w:rsidRPr="00A6406E">
        <w:rPr>
          <w:rFonts w:ascii="Arial" w:hAnsi="Arial" w:cs="HelveticaLTStd-Roman"/>
          <w:sz w:val="24"/>
          <w:szCs w:val="16"/>
        </w:rPr>
        <w:t>5. Un fuerte deseo de ser tratado como del otro sexo (o de un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sexo alternativo distinto del que se le asigna).</w:t>
      </w:r>
    </w:p>
    <w:p w14:paraId="7988A98A" w14:textId="7BDC827E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Roman"/>
          <w:sz w:val="24"/>
          <w:szCs w:val="16"/>
        </w:rPr>
      </w:pPr>
      <w:r w:rsidRPr="00A6406E">
        <w:rPr>
          <w:rFonts w:ascii="Arial" w:hAnsi="Arial" w:cs="HelveticaLTStd-Roman"/>
          <w:sz w:val="24"/>
          <w:szCs w:val="16"/>
        </w:rPr>
        <w:t>6. Una fuerte convicción de que uno tiene los sentimientos y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reacciones típicos del otro sexo (o de un sexo alternativo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distinto del que se le asigna).</w:t>
      </w:r>
    </w:p>
    <w:p w14:paraId="631F17A9" w14:textId="5622B504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Roman"/>
          <w:sz w:val="24"/>
          <w:szCs w:val="16"/>
        </w:rPr>
      </w:pPr>
      <w:r w:rsidRPr="00A6406E">
        <w:rPr>
          <w:rFonts w:ascii="Arial" w:hAnsi="Arial" w:cs="HelveticaLTStd-Roman"/>
          <w:sz w:val="24"/>
          <w:szCs w:val="16"/>
        </w:rPr>
        <w:t>B. El problema va asociado a un malestar clínicamente significativo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o a deterioro en lo social, laboral u otras áreas importantes del</w:t>
      </w:r>
      <w:r>
        <w:rPr>
          <w:rFonts w:ascii="Arial" w:hAnsi="Arial" w:cs="HelveticaLTStd-Roman"/>
          <w:sz w:val="24"/>
          <w:szCs w:val="16"/>
        </w:rPr>
        <w:t xml:space="preserve"> </w:t>
      </w:r>
      <w:r w:rsidRPr="00A6406E">
        <w:rPr>
          <w:rFonts w:ascii="Arial" w:hAnsi="Arial" w:cs="HelveticaLTStd-Roman"/>
          <w:sz w:val="24"/>
          <w:szCs w:val="16"/>
        </w:rPr>
        <w:t>funcionamiento.</w:t>
      </w:r>
    </w:p>
    <w:p w14:paraId="3ADB945F" w14:textId="39496BC3" w:rsidR="00A6406E" w:rsidRPr="00A6406E" w:rsidRDefault="00A6406E" w:rsidP="00A64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HelveticaLTStd-Bold"/>
          <w:bCs/>
          <w:sz w:val="24"/>
          <w:szCs w:val="16"/>
        </w:rPr>
      </w:pPr>
    </w:p>
    <w:p w14:paraId="612874D0" w14:textId="50B7ECF5" w:rsidR="001658AA" w:rsidRDefault="001658AA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</w:pPr>
      <w:r w:rsidRPr="00470C7D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3B0A5A08" w14:textId="13B9BB0F" w:rsidR="00A6406E" w:rsidRDefault="00A6406E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  <w:t>Preocupaciones con la comunidad LG</w:t>
      </w:r>
      <w:r w:rsidR="009A22C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  <w:t>BTQ</w:t>
      </w:r>
    </w:p>
    <w:p w14:paraId="3F5AE659" w14:textId="33020036" w:rsidR="00A6406E" w:rsidRDefault="000A011A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Las personas LGBT son más proclives a tener condiciones crónicas, tales como enfermedad cardiovascular, cáncer y SIDA. Las mujeres lesbianas y bisexuales son </w:t>
      </w:r>
      <w:r w:rsidR="00165D87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más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proclives que las mujeres heterosexuales a estar sobre peso y obesas. Hay también investigación emergente acerca de altas tasas de sedentarismo, pre diabetes y diabetes entre jóvenes LGBT, lo cual puede conducir a diabetes </w:t>
      </w:r>
      <w:r w:rsidR="00165D87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más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tarde en la vida. Los adultos mayores LGBT experimentan </w:t>
      </w:r>
      <w:r w:rsidR="00165D87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más</w:t>
      </w:r>
      <w:bookmarkStart w:id="0" w:name="_GoBack"/>
      <w:bookmarkEnd w:id="0"/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tasas de discapacidad que sus homónimos heterosexuales. Las personas LGBT son también </w:t>
      </w:r>
      <w:r w:rsidR="00165D87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más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proclives a fumar y vapear, y a usar sustancias. Todas estas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lastRenderedPageBreak/>
        <w:t>condiciones y conductas de riesgo pueden aumentar la vulnerabilidad de las personas LGBT si se hayan expuestas al SARS-CoV-2.</w:t>
      </w:r>
    </w:p>
    <w:p w14:paraId="4C0D6285" w14:textId="01B4C6FD" w:rsidR="000A011A" w:rsidRDefault="000A011A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Los adultos mayores LGBT experimentan ya altas tasas de aislamiento social que sus congéneres hetero. El aislamiento social aumentará drásticamente en las próximas semanas y meses, a medida que la población se involucre en el distanciamiento social. Esto puede exacerbar problemas de salud mental subyacentes </w:t>
      </w:r>
      <w:r w:rsidR="0043570D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tales como ideación suicida y uso de sustancias.</w:t>
      </w:r>
    </w:p>
    <w:p w14:paraId="0F427ECD" w14:textId="30A7296A" w:rsidR="0043570D" w:rsidRDefault="0043570D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En algunos contextos las personas LGTB pueden experimentar discriminación al acceder al sistema de salud. Cualquier persona que piense que está siendo discriminada para los cuidados de salud por su real o percibida orientación sexual o identidad de género debe contactar con nuestras organizaciones sociales, pues sus derechos están protegidos por nuestra constitución.</w:t>
      </w:r>
    </w:p>
    <w:p w14:paraId="11B138E9" w14:textId="77777777" w:rsidR="0043570D" w:rsidRDefault="0043570D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</w:p>
    <w:p w14:paraId="18CA2CB5" w14:textId="56E102B5" w:rsidR="001658AA" w:rsidRDefault="001658AA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470C7D">
        <w:rPr>
          <w:rFonts w:ascii="Arial" w:hAnsi="Arial" w:cs="Arial"/>
          <w:b/>
          <w:bCs/>
          <w:sz w:val="24"/>
          <w:szCs w:val="24"/>
        </w:rPr>
        <w:t>Estrategias de Enfrentamiento:</w:t>
      </w:r>
    </w:p>
    <w:p w14:paraId="1BACD357" w14:textId="24B5B987" w:rsidR="00993BBA" w:rsidRDefault="0043570D" w:rsidP="00993BBA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93BBA">
        <w:rPr>
          <w:rFonts w:ascii="Arial" w:hAnsi="Arial" w:cs="Arial"/>
          <w:sz w:val="24"/>
          <w:szCs w:val="24"/>
        </w:rPr>
        <w:t xml:space="preserve">Todas las personas, y especialmente las personas que viven con SIDA, otras condiciones crónicas y la comunidad LGBT, deben estar especialmente vigilantes y practicar una buena higiene y el distanciamiento social. Esto significa permanecer en la casa, trabajar en el hogar si es posible en las próximas semanas y meses, y solo salir para servicios </w:t>
      </w:r>
      <w:r w:rsidR="00993BBA" w:rsidRPr="00993BBA">
        <w:rPr>
          <w:rFonts w:ascii="Arial" w:hAnsi="Arial" w:cs="Arial"/>
          <w:sz w:val="24"/>
          <w:szCs w:val="24"/>
        </w:rPr>
        <w:t>esenciales como buscar servicios de salud, medicamentos o alimentos.</w:t>
      </w:r>
    </w:p>
    <w:p w14:paraId="6A9B30C7" w14:textId="07AD3EC6" w:rsidR="00993BBA" w:rsidRDefault="00993BBA" w:rsidP="00993BBA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las personas de la comunidad LGBT deben defenderse del estigma. Las emergencias de salud pública tales como la pandemia COVID-19, son momentos de stress para las comunidades, esto trae como consecuencia que puede aparecer la estigmatización de un grupo o sector como es el caso de la comunidad LGBT. Simplemente recordar siempre que el COVID-19 ataca a cualquier grupo o sector social o profesional, eso queda bien claro diariamente en las conferencias de presa del Dr. Durán.</w:t>
      </w:r>
    </w:p>
    <w:p w14:paraId="1C4DDD2A" w14:textId="488A785E" w:rsidR="00993BBA" w:rsidRDefault="00993BBA" w:rsidP="00993BBA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Mantenga la esperanza: Es importante mantener la esperanza y practicar el auto cuidado. Evite la inf</w:t>
      </w:r>
      <w:r w:rsidR="00156AA1">
        <w:rPr>
          <w:rFonts w:ascii="Arial" w:hAnsi="Arial" w:cs="Arial"/>
          <w:sz w:val="24"/>
          <w:szCs w:val="24"/>
        </w:rPr>
        <w:t>odemia</w:t>
      </w:r>
      <w:r>
        <w:rPr>
          <w:rFonts w:ascii="Arial" w:hAnsi="Arial" w:cs="Arial"/>
          <w:sz w:val="24"/>
          <w:szCs w:val="24"/>
        </w:rPr>
        <w:t>. Comuníquese por teléfono con otras personas de la comunidad que estén aisladas y solas en su hogar</w:t>
      </w:r>
      <w:r w:rsidR="00156AA1">
        <w:rPr>
          <w:rFonts w:ascii="Arial" w:hAnsi="Arial" w:cs="Arial"/>
          <w:sz w:val="24"/>
          <w:szCs w:val="24"/>
        </w:rPr>
        <w:t>.</w:t>
      </w:r>
    </w:p>
    <w:p w14:paraId="033877A8" w14:textId="1B15058F" w:rsidR="00156AA1" w:rsidRDefault="00156AA1" w:rsidP="00993BBA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Maneje el stress y la ansiedad:</w:t>
      </w:r>
    </w:p>
    <w:p w14:paraId="61994E29" w14:textId="0E6B477B" w:rsidR="00156AA1" w:rsidRDefault="00156AA1" w:rsidP="00156AA1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el mundo reacciona de manera diferente al stress y la ansiedad, conózcase a sí mismo.</w:t>
      </w:r>
    </w:p>
    <w:p w14:paraId="44A1FD7E" w14:textId="31980694" w:rsidR="00156AA1" w:rsidRDefault="00156AA1" w:rsidP="00156AA1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Tómese sus descansos de ver, leer o escuchar las noticias, incluyendo las redes sociales, oír hablar de la pandemia constantemente molesta.</w:t>
      </w:r>
    </w:p>
    <w:p w14:paraId="30411709" w14:textId="67FF1E1D" w:rsidR="00156AA1" w:rsidRDefault="00156AA1" w:rsidP="00156AA1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Cuide su cuerpo: medite, coma lo mejor posible, duerma y evite el alcohol y las drogas.</w:t>
      </w:r>
    </w:p>
    <w:p w14:paraId="41332F3A" w14:textId="004650E9" w:rsidR="00156AA1" w:rsidRDefault="00156AA1" w:rsidP="00156AA1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Trate de practicar actividades que lo diviertan</w:t>
      </w:r>
    </w:p>
    <w:p w14:paraId="249AB6F7" w14:textId="0A1F4EA4" w:rsidR="00156AA1" w:rsidRPr="00156AA1" w:rsidRDefault="00156AA1" w:rsidP="00156AA1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Conéctese con su comunidad.</w:t>
      </w:r>
    </w:p>
    <w:p w14:paraId="19FA4B63" w14:textId="0DDA6542" w:rsidR="00156AA1" w:rsidRDefault="00156AA1" w:rsidP="00156AA1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08309E1" w14:textId="6B2766A2" w:rsidR="00156AA1" w:rsidRDefault="00156AA1" w:rsidP="00156AA1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1EF787A" w14:textId="77777777" w:rsidR="00993BBA" w:rsidRPr="00993BBA" w:rsidRDefault="00993BBA" w:rsidP="00993BBA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131BF36" w14:textId="2FB3B17D" w:rsidR="0043570D" w:rsidRPr="0043570D" w:rsidRDefault="0043570D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3570D">
        <w:rPr>
          <w:rFonts w:ascii="Arial" w:hAnsi="Arial" w:cs="Arial"/>
          <w:sz w:val="24"/>
          <w:szCs w:val="24"/>
        </w:rPr>
        <w:t xml:space="preserve"> </w:t>
      </w:r>
    </w:p>
    <w:p w14:paraId="1F21EC3B" w14:textId="77777777" w:rsidR="001658AA" w:rsidRPr="00470C7D" w:rsidRDefault="001658AA" w:rsidP="001658A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sectPr w:rsidR="001658AA" w:rsidRPr="00470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LTStd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C0879"/>
    <w:multiLevelType w:val="hybridMultilevel"/>
    <w:tmpl w:val="FDB01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AA"/>
    <w:rsid w:val="000A011A"/>
    <w:rsid w:val="00156AA1"/>
    <w:rsid w:val="001658AA"/>
    <w:rsid w:val="00165D87"/>
    <w:rsid w:val="00374110"/>
    <w:rsid w:val="0043570D"/>
    <w:rsid w:val="008F4946"/>
    <w:rsid w:val="00993BBA"/>
    <w:rsid w:val="009A22CE"/>
    <w:rsid w:val="00A6406E"/>
    <w:rsid w:val="00B439DF"/>
    <w:rsid w:val="00C707D5"/>
    <w:rsid w:val="00E94EC6"/>
    <w:rsid w:val="00E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9D4E"/>
  <w15:chartTrackingRefBased/>
  <w15:docId w15:val="{9AFFA26F-A39A-45C5-BABE-9F9A1E1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6</cp:revision>
  <dcterms:created xsi:type="dcterms:W3CDTF">2020-05-24T13:34:00Z</dcterms:created>
  <dcterms:modified xsi:type="dcterms:W3CDTF">2020-06-17T13:05:00Z</dcterms:modified>
</cp:coreProperties>
</file>