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82B1" w14:textId="77777777" w:rsidR="006B6F53" w:rsidRDefault="006B6F53">
      <w:pPr>
        <w:rPr>
          <w:noProof/>
        </w:rPr>
      </w:pPr>
      <w:bookmarkStart w:id="0" w:name="_GoBack"/>
      <w:bookmarkEnd w:id="0"/>
    </w:p>
    <w:p w14:paraId="02D232D7" w14:textId="63539EFF" w:rsidR="00374110" w:rsidRDefault="003B5887">
      <w:r w:rsidRPr="003B5887">
        <w:rPr>
          <w:noProof/>
        </w:rPr>
        <w:drawing>
          <wp:inline distT="0" distB="0" distL="0" distR="0" wp14:anchorId="46DADFF4" wp14:editId="5C17A5E1">
            <wp:extent cx="5400040" cy="7251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251065"/>
                    </a:xfrm>
                    <a:prstGeom prst="rect">
                      <a:avLst/>
                    </a:prstGeom>
                    <a:noFill/>
                    <a:ln>
                      <a:noFill/>
                    </a:ln>
                  </pic:spPr>
                </pic:pic>
              </a:graphicData>
            </a:graphic>
          </wp:inline>
        </w:drawing>
      </w:r>
    </w:p>
    <w:p w14:paraId="6FCB8504" w14:textId="6DBAEACE" w:rsidR="003B5887" w:rsidRDefault="003B5887"/>
    <w:p w14:paraId="36CEC085" w14:textId="34BC8682" w:rsidR="003B5887" w:rsidRDefault="003B5887"/>
    <w:p w14:paraId="3F80FB0C" w14:textId="522BE2AF" w:rsidR="003B5887" w:rsidRDefault="003B5887"/>
    <w:p w14:paraId="78A43FEB" w14:textId="50350D3C" w:rsidR="003B5887" w:rsidRDefault="003B5887"/>
    <w:p w14:paraId="24A631B7" w14:textId="77777777" w:rsidR="003B5887" w:rsidRDefault="003B5887">
      <w:pPr>
        <w:rPr>
          <w:noProof/>
        </w:rPr>
      </w:pPr>
    </w:p>
    <w:p w14:paraId="7A46A847" w14:textId="77777777" w:rsidR="003B5887" w:rsidRDefault="003B5887">
      <w:pPr>
        <w:rPr>
          <w:noProof/>
        </w:rPr>
      </w:pPr>
    </w:p>
    <w:p w14:paraId="1E49A22C" w14:textId="03B2A52E" w:rsidR="003B5887" w:rsidRDefault="003B5887">
      <w:r w:rsidRPr="003B5887">
        <w:rPr>
          <w:noProof/>
        </w:rPr>
        <w:drawing>
          <wp:inline distT="0" distB="0" distL="0" distR="0" wp14:anchorId="691A6340" wp14:editId="5EA9E66C">
            <wp:extent cx="5400040" cy="74244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7424420"/>
                    </a:xfrm>
                    <a:prstGeom prst="rect">
                      <a:avLst/>
                    </a:prstGeom>
                    <a:noFill/>
                    <a:ln>
                      <a:noFill/>
                    </a:ln>
                  </pic:spPr>
                </pic:pic>
              </a:graphicData>
            </a:graphic>
          </wp:inline>
        </w:drawing>
      </w:r>
    </w:p>
    <w:p w14:paraId="77779313" w14:textId="46997F60" w:rsidR="003B5887" w:rsidRDefault="003B5887"/>
    <w:p w14:paraId="09B85680" w14:textId="7FDB310E" w:rsidR="003B5887" w:rsidRDefault="003B5887"/>
    <w:p w14:paraId="16F5EE02" w14:textId="73B88962" w:rsidR="003B5887" w:rsidRDefault="003B5887"/>
    <w:p w14:paraId="097B5975" w14:textId="33601AD8" w:rsidR="003B5887" w:rsidRDefault="003B5887">
      <w:r w:rsidRPr="003B5887">
        <w:rPr>
          <w:noProof/>
        </w:rPr>
        <w:lastRenderedPageBreak/>
        <w:drawing>
          <wp:inline distT="0" distB="0" distL="0" distR="0" wp14:anchorId="6E231B99" wp14:editId="4881B741">
            <wp:extent cx="5400040" cy="72078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207885"/>
                    </a:xfrm>
                    <a:prstGeom prst="rect">
                      <a:avLst/>
                    </a:prstGeom>
                    <a:noFill/>
                    <a:ln>
                      <a:noFill/>
                    </a:ln>
                  </pic:spPr>
                </pic:pic>
              </a:graphicData>
            </a:graphic>
          </wp:inline>
        </w:drawing>
      </w:r>
    </w:p>
    <w:p w14:paraId="08F2AF55" w14:textId="266F7FFE" w:rsidR="003B5887" w:rsidRDefault="003B5887"/>
    <w:p w14:paraId="1E8E06BF" w14:textId="49A58E33" w:rsidR="003B5887" w:rsidRDefault="003B5887"/>
    <w:p w14:paraId="6F4D18EF" w14:textId="7CFBC80E" w:rsidR="003B5887" w:rsidRDefault="003B5887">
      <w:r w:rsidRPr="003B5887">
        <w:rPr>
          <w:noProof/>
        </w:rPr>
        <w:lastRenderedPageBreak/>
        <w:drawing>
          <wp:inline distT="0" distB="0" distL="0" distR="0" wp14:anchorId="2D2367A5" wp14:editId="66B3060B">
            <wp:extent cx="5400040" cy="21297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129790"/>
                    </a:xfrm>
                    <a:prstGeom prst="rect">
                      <a:avLst/>
                    </a:prstGeom>
                    <a:noFill/>
                    <a:ln>
                      <a:noFill/>
                    </a:ln>
                  </pic:spPr>
                </pic:pic>
              </a:graphicData>
            </a:graphic>
          </wp:inline>
        </w:drawing>
      </w:r>
    </w:p>
    <w:p w14:paraId="6236CF26" w14:textId="3D9B1202" w:rsidR="003B5887" w:rsidRDefault="003B5887"/>
    <w:p w14:paraId="010EB91D" w14:textId="5962D081" w:rsidR="00A5516C" w:rsidRDefault="00A5516C">
      <w:r w:rsidRPr="00A5516C">
        <w:rPr>
          <w:noProof/>
        </w:rPr>
        <w:drawing>
          <wp:inline distT="0" distB="0" distL="0" distR="0" wp14:anchorId="72495979" wp14:editId="575BD16C">
            <wp:extent cx="5400040" cy="34093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409315"/>
                    </a:xfrm>
                    <a:prstGeom prst="rect">
                      <a:avLst/>
                    </a:prstGeom>
                    <a:noFill/>
                    <a:ln>
                      <a:noFill/>
                    </a:ln>
                  </pic:spPr>
                </pic:pic>
              </a:graphicData>
            </a:graphic>
          </wp:inline>
        </w:drawing>
      </w:r>
    </w:p>
    <w:p w14:paraId="58BE6BFC" w14:textId="1C418574" w:rsidR="003B5887" w:rsidRDefault="003B5887"/>
    <w:p w14:paraId="0D7B2B14" w14:textId="77777777" w:rsidR="00897ADA" w:rsidRDefault="00897ADA">
      <w:pPr>
        <w:rPr>
          <w:b/>
          <w:bCs/>
          <w:i/>
          <w:iCs/>
          <w:sz w:val="24"/>
          <w:szCs w:val="24"/>
          <w:u w:val="single"/>
        </w:rPr>
      </w:pPr>
    </w:p>
    <w:p w14:paraId="5FCAC007" w14:textId="77777777" w:rsidR="00897ADA" w:rsidRDefault="00897ADA">
      <w:pPr>
        <w:rPr>
          <w:b/>
          <w:bCs/>
          <w:i/>
          <w:iCs/>
          <w:sz w:val="24"/>
          <w:szCs w:val="24"/>
          <w:u w:val="single"/>
        </w:rPr>
      </w:pPr>
    </w:p>
    <w:p w14:paraId="2722996B" w14:textId="77777777" w:rsidR="00897ADA" w:rsidRDefault="00897ADA">
      <w:pPr>
        <w:rPr>
          <w:b/>
          <w:bCs/>
          <w:i/>
          <w:iCs/>
          <w:sz w:val="24"/>
          <w:szCs w:val="24"/>
          <w:u w:val="single"/>
        </w:rPr>
      </w:pPr>
    </w:p>
    <w:p w14:paraId="295D0C2B" w14:textId="77777777" w:rsidR="00897ADA" w:rsidRDefault="00897ADA">
      <w:pPr>
        <w:rPr>
          <w:b/>
          <w:bCs/>
          <w:i/>
          <w:iCs/>
          <w:sz w:val="24"/>
          <w:szCs w:val="24"/>
          <w:u w:val="single"/>
        </w:rPr>
      </w:pPr>
    </w:p>
    <w:p w14:paraId="6E276BCC" w14:textId="77777777" w:rsidR="00897ADA" w:rsidRDefault="00897ADA">
      <w:pPr>
        <w:rPr>
          <w:b/>
          <w:bCs/>
          <w:i/>
          <w:iCs/>
          <w:sz w:val="24"/>
          <w:szCs w:val="24"/>
          <w:u w:val="single"/>
        </w:rPr>
      </w:pPr>
    </w:p>
    <w:p w14:paraId="58F61093" w14:textId="77777777" w:rsidR="00897ADA" w:rsidRDefault="00897ADA">
      <w:pPr>
        <w:rPr>
          <w:b/>
          <w:bCs/>
          <w:i/>
          <w:iCs/>
          <w:sz w:val="24"/>
          <w:szCs w:val="24"/>
          <w:u w:val="single"/>
        </w:rPr>
      </w:pPr>
    </w:p>
    <w:p w14:paraId="172A6933" w14:textId="77777777" w:rsidR="00897ADA" w:rsidRDefault="00897ADA">
      <w:pPr>
        <w:rPr>
          <w:b/>
          <w:bCs/>
          <w:i/>
          <w:iCs/>
          <w:sz w:val="24"/>
          <w:szCs w:val="24"/>
          <w:u w:val="single"/>
        </w:rPr>
      </w:pPr>
    </w:p>
    <w:p w14:paraId="4D46E18D" w14:textId="77777777" w:rsidR="00897ADA" w:rsidRDefault="00897ADA">
      <w:pPr>
        <w:rPr>
          <w:b/>
          <w:bCs/>
          <w:i/>
          <w:iCs/>
          <w:sz w:val="24"/>
          <w:szCs w:val="24"/>
          <w:u w:val="single"/>
        </w:rPr>
      </w:pPr>
    </w:p>
    <w:p w14:paraId="63D433CF" w14:textId="773160B6" w:rsidR="00897ADA" w:rsidRDefault="00897ADA">
      <w:pPr>
        <w:rPr>
          <w:b/>
          <w:bCs/>
          <w:i/>
          <w:iCs/>
          <w:sz w:val="24"/>
          <w:szCs w:val="24"/>
          <w:u w:val="single"/>
        </w:rPr>
      </w:pPr>
      <w:r>
        <w:rPr>
          <w:b/>
          <w:bCs/>
          <w:i/>
          <w:iCs/>
          <w:sz w:val="24"/>
          <w:szCs w:val="24"/>
          <w:u w:val="single"/>
        </w:rPr>
        <w:lastRenderedPageBreak/>
        <w:t>Autores:</w:t>
      </w:r>
    </w:p>
    <w:p w14:paraId="3C58178F" w14:textId="71DE90EB" w:rsidR="00897ADA" w:rsidRDefault="00897ADA">
      <w:pPr>
        <w:rPr>
          <w:b/>
          <w:bCs/>
          <w:i/>
          <w:iCs/>
          <w:sz w:val="24"/>
          <w:szCs w:val="24"/>
          <w:u w:val="single"/>
        </w:rPr>
      </w:pPr>
      <w:r>
        <w:rPr>
          <w:b/>
          <w:bCs/>
          <w:i/>
          <w:iCs/>
          <w:sz w:val="24"/>
          <w:szCs w:val="24"/>
          <w:u w:val="single"/>
        </w:rPr>
        <w:t>Dr. C Antonio J. Caballero Moreno</w:t>
      </w:r>
    </w:p>
    <w:p w14:paraId="026A7465" w14:textId="359E1C03" w:rsidR="00897ADA" w:rsidRDefault="00897ADA">
      <w:pPr>
        <w:rPr>
          <w:b/>
          <w:bCs/>
          <w:i/>
          <w:iCs/>
          <w:sz w:val="24"/>
          <w:szCs w:val="24"/>
          <w:u w:val="single"/>
        </w:rPr>
      </w:pPr>
      <w:r>
        <w:rPr>
          <w:b/>
          <w:bCs/>
          <w:i/>
          <w:iCs/>
          <w:sz w:val="24"/>
          <w:szCs w:val="24"/>
          <w:u w:val="single"/>
        </w:rPr>
        <w:t>Jefe Sala de Adicciones de Mujeres</w:t>
      </w:r>
    </w:p>
    <w:p w14:paraId="0DA58239" w14:textId="1545158E" w:rsidR="00897ADA" w:rsidRDefault="00897ADA">
      <w:pPr>
        <w:rPr>
          <w:b/>
          <w:bCs/>
          <w:i/>
          <w:iCs/>
          <w:sz w:val="24"/>
          <w:szCs w:val="24"/>
          <w:u w:val="single"/>
        </w:rPr>
      </w:pPr>
      <w:r>
        <w:rPr>
          <w:b/>
          <w:bCs/>
          <w:i/>
          <w:iCs/>
          <w:sz w:val="24"/>
          <w:szCs w:val="24"/>
          <w:u w:val="single"/>
        </w:rPr>
        <w:t>Hospital “Enrique Cabrera”</w:t>
      </w:r>
    </w:p>
    <w:p w14:paraId="1658A7AE" w14:textId="33F940B5" w:rsidR="00897ADA" w:rsidRDefault="00897ADA">
      <w:pPr>
        <w:rPr>
          <w:b/>
          <w:bCs/>
          <w:i/>
          <w:iCs/>
          <w:sz w:val="24"/>
          <w:szCs w:val="24"/>
          <w:u w:val="single"/>
        </w:rPr>
      </w:pPr>
      <w:proofErr w:type="spellStart"/>
      <w:r>
        <w:rPr>
          <w:b/>
          <w:bCs/>
          <w:i/>
          <w:iCs/>
          <w:sz w:val="24"/>
          <w:szCs w:val="24"/>
          <w:u w:val="single"/>
        </w:rPr>
        <w:t>Galigarcía</w:t>
      </w:r>
      <w:proofErr w:type="spellEnd"/>
    </w:p>
    <w:p w14:paraId="7C342150" w14:textId="672DDAD5" w:rsidR="00897ADA" w:rsidRDefault="00897ADA">
      <w:pPr>
        <w:rPr>
          <w:b/>
          <w:bCs/>
          <w:i/>
          <w:iCs/>
          <w:sz w:val="24"/>
          <w:szCs w:val="24"/>
          <w:u w:val="single"/>
        </w:rPr>
      </w:pPr>
      <w:r>
        <w:rPr>
          <w:b/>
          <w:bCs/>
          <w:i/>
          <w:iCs/>
          <w:sz w:val="24"/>
          <w:szCs w:val="24"/>
          <w:u w:val="single"/>
        </w:rPr>
        <w:t>Dra. Carmen B. Borrego Calzadilla</w:t>
      </w:r>
    </w:p>
    <w:p w14:paraId="65310AB3" w14:textId="26E90C48" w:rsidR="00897ADA" w:rsidRDefault="00897ADA">
      <w:pPr>
        <w:rPr>
          <w:b/>
          <w:bCs/>
          <w:i/>
          <w:iCs/>
          <w:sz w:val="24"/>
          <w:szCs w:val="24"/>
          <w:u w:val="single"/>
        </w:rPr>
      </w:pPr>
      <w:r>
        <w:rPr>
          <w:b/>
          <w:bCs/>
          <w:i/>
          <w:iCs/>
          <w:sz w:val="24"/>
          <w:szCs w:val="24"/>
          <w:u w:val="single"/>
        </w:rPr>
        <w:t>Jefa de la Sección de Salud Mental</w:t>
      </w:r>
    </w:p>
    <w:p w14:paraId="5588DDD4" w14:textId="500441EB" w:rsidR="00897ADA" w:rsidRDefault="00897ADA">
      <w:pPr>
        <w:rPr>
          <w:b/>
          <w:bCs/>
          <w:i/>
          <w:iCs/>
          <w:sz w:val="24"/>
          <w:szCs w:val="24"/>
          <w:u w:val="single"/>
        </w:rPr>
      </w:pPr>
      <w:r>
        <w:rPr>
          <w:b/>
          <w:bCs/>
          <w:i/>
          <w:iCs/>
          <w:sz w:val="24"/>
          <w:szCs w:val="24"/>
          <w:u w:val="single"/>
        </w:rPr>
        <w:t>MINSAP</w:t>
      </w:r>
    </w:p>
    <w:p w14:paraId="18A983FE" w14:textId="3347C819" w:rsidR="003B5887" w:rsidRDefault="003B5887">
      <w:pPr>
        <w:rPr>
          <w:b/>
          <w:bCs/>
          <w:i/>
          <w:iCs/>
          <w:sz w:val="24"/>
          <w:szCs w:val="24"/>
          <w:u w:val="single"/>
        </w:rPr>
      </w:pPr>
      <w:r w:rsidRPr="003B5887">
        <w:rPr>
          <w:b/>
          <w:bCs/>
          <w:i/>
          <w:iCs/>
          <w:sz w:val="24"/>
          <w:szCs w:val="24"/>
          <w:u w:val="single"/>
        </w:rPr>
        <w:t>A</w:t>
      </w:r>
      <w:r w:rsidR="00A5516C">
        <w:rPr>
          <w:b/>
          <w:bCs/>
          <w:i/>
          <w:iCs/>
          <w:sz w:val="24"/>
          <w:szCs w:val="24"/>
          <w:u w:val="single"/>
        </w:rPr>
        <w:t>nexo</w:t>
      </w:r>
      <w:r w:rsidRPr="003B5887">
        <w:rPr>
          <w:b/>
          <w:bCs/>
          <w:i/>
          <w:iCs/>
          <w:sz w:val="24"/>
          <w:szCs w:val="24"/>
          <w:u w:val="single"/>
        </w:rPr>
        <w:t xml:space="preserve"> Cubano a la Declaración de la WADD sobre Patología Dual y su Atención en el contexto de la Pandemia de COVID-19</w:t>
      </w:r>
    </w:p>
    <w:p w14:paraId="51369036" w14:textId="77777777" w:rsidR="00897ADA" w:rsidRPr="003B5887" w:rsidRDefault="00897ADA">
      <w:pPr>
        <w:rPr>
          <w:b/>
          <w:bCs/>
          <w:i/>
          <w:iCs/>
          <w:sz w:val="24"/>
          <w:szCs w:val="24"/>
          <w:u w:val="single"/>
        </w:rPr>
      </w:pPr>
    </w:p>
    <w:p w14:paraId="704C2C15" w14:textId="7D1FB226" w:rsidR="003B5887" w:rsidRDefault="003B5887"/>
    <w:p w14:paraId="4A63EE42"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El Plan de Actuación que proponemos aspira a:</w:t>
      </w:r>
    </w:p>
    <w:p w14:paraId="76B824E7" w14:textId="77777777" w:rsidR="003B5887" w:rsidRPr="006B6F53" w:rsidRDefault="003B5887" w:rsidP="003B5887">
      <w:pPr>
        <w:pStyle w:val="Prrafodelista"/>
        <w:numPr>
          <w:ilvl w:val="0"/>
          <w:numId w:val="1"/>
        </w:numPr>
        <w:spacing w:line="360" w:lineRule="auto"/>
        <w:jc w:val="both"/>
        <w:rPr>
          <w:rFonts w:ascii="Arial" w:hAnsi="Arial"/>
          <w:b/>
          <w:bCs/>
          <w:i/>
          <w:iCs/>
          <w:sz w:val="24"/>
          <w:szCs w:val="24"/>
          <w:u w:val="single"/>
        </w:rPr>
      </w:pPr>
      <w:r w:rsidRPr="006B6F53">
        <w:rPr>
          <w:rFonts w:ascii="Arial" w:hAnsi="Arial"/>
          <w:b/>
          <w:bCs/>
          <w:i/>
          <w:iCs/>
          <w:sz w:val="24"/>
          <w:szCs w:val="24"/>
          <w:u w:val="single"/>
        </w:rPr>
        <w:t>Sencillo y fácil de usar por los profesionales.</w:t>
      </w:r>
    </w:p>
    <w:p w14:paraId="116CA456" w14:textId="77777777" w:rsidR="003B5887" w:rsidRPr="006B6F53" w:rsidRDefault="003B5887" w:rsidP="003B5887">
      <w:pPr>
        <w:pStyle w:val="Prrafodelista"/>
        <w:numPr>
          <w:ilvl w:val="0"/>
          <w:numId w:val="1"/>
        </w:numPr>
        <w:spacing w:line="360" w:lineRule="auto"/>
        <w:jc w:val="both"/>
        <w:rPr>
          <w:rFonts w:ascii="Arial" w:hAnsi="Arial"/>
          <w:b/>
          <w:bCs/>
          <w:i/>
          <w:iCs/>
          <w:sz w:val="24"/>
          <w:szCs w:val="24"/>
          <w:u w:val="single"/>
        </w:rPr>
      </w:pPr>
      <w:r w:rsidRPr="006B6F53">
        <w:rPr>
          <w:rFonts w:ascii="Arial" w:hAnsi="Arial"/>
          <w:b/>
          <w:bCs/>
          <w:i/>
          <w:iCs/>
          <w:sz w:val="24"/>
          <w:szCs w:val="24"/>
          <w:u w:val="single"/>
        </w:rPr>
        <w:t>Es un documento único para todas las estructuras y niveles sanitarios.</w:t>
      </w:r>
    </w:p>
    <w:p w14:paraId="01350E35" w14:textId="249D5A06" w:rsidR="003B5887" w:rsidRPr="006B6F53" w:rsidRDefault="003B5887" w:rsidP="003B5887">
      <w:pPr>
        <w:pStyle w:val="Prrafodelista"/>
        <w:numPr>
          <w:ilvl w:val="0"/>
          <w:numId w:val="1"/>
        </w:numPr>
        <w:spacing w:line="360" w:lineRule="auto"/>
        <w:jc w:val="both"/>
        <w:rPr>
          <w:rFonts w:ascii="Arial" w:hAnsi="Arial"/>
          <w:b/>
          <w:bCs/>
          <w:i/>
          <w:iCs/>
          <w:sz w:val="24"/>
          <w:szCs w:val="24"/>
          <w:u w:val="single"/>
        </w:rPr>
      </w:pPr>
      <w:r w:rsidRPr="006B6F53">
        <w:rPr>
          <w:rFonts w:ascii="Arial" w:hAnsi="Arial"/>
          <w:b/>
          <w:bCs/>
          <w:i/>
          <w:iCs/>
          <w:sz w:val="24"/>
          <w:szCs w:val="24"/>
          <w:u w:val="single"/>
        </w:rPr>
        <w:t xml:space="preserve">Incorporamos los Protocolos de Actuación de </w:t>
      </w:r>
      <w:smartTag w:uri="urn:schemas-microsoft-com:office:smarttags" w:element="PersonName">
        <w:smartTagPr>
          <w:attr w:name="ProductID" w:val="la Sociedad Espa￱ola"/>
        </w:smartTagPr>
        <w:r w:rsidRPr="006B6F53">
          <w:rPr>
            <w:rFonts w:ascii="Arial" w:hAnsi="Arial"/>
            <w:b/>
            <w:bCs/>
            <w:i/>
            <w:iCs/>
            <w:sz w:val="24"/>
            <w:szCs w:val="24"/>
            <w:u w:val="single"/>
          </w:rPr>
          <w:t>la Sociedad Española</w:t>
        </w:r>
      </w:smartTag>
      <w:r w:rsidRPr="006B6F53">
        <w:rPr>
          <w:rFonts w:ascii="Arial" w:hAnsi="Arial"/>
          <w:b/>
          <w:bCs/>
          <w:i/>
          <w:iCs/>
          <w:sz w:val="24"/>
          <w:szCs w:val="24"/>
          <w:u w:val="single"/>
        </w:rPr>
        <w:t xml:space="preserve"> de Patología Dual como documento de trabajo.</w:t>
      </w:r>
    </w:p>
    <w:p w14:paraId="6B6EB2C9" w14:textId="77777777" w:rsidR="003B5887" w:rsidRPr="006B6F53" w:rsidRDefault="003B5887" w:rsidP="003B5887">
      <w:pPr>
        <w:pStyle w:val="Prrafodelista"/>
        <w:numPr>
          <w:ilvl w:val="0"/>
          <w:numId w:val="1"/>
        </w:numPr>
        <w:spacing w:line="360" w:lineRule="auto"/>
        <w:jc w:val="both"/>
        <w:rPr>
          <w:rFonts w:ascii="Arial" w:hAnsi="Arial"/>
          <w:b/>
          <w:bCs/>
          <w:i/>
          <w:iCs/>
          <w:sz w:val="24"/>
          <w:szCs w:val="24"/>
          <w:u w:val="single"/>
        </w:rPr>
      </w:pPr>
      <w:r w:rsidRPr="006B6F53">
        <w:rPr>
          <w:rFonts w:ascii="Arial" w:hAnsi="Arial"/>
          <w:b/>
          <w:bCs/>
          <w:i/>
          <w:iCs/>
          <w:sz w:val="24"/>
          <w:szCs w:val="24"/>
          <w:u w:val="single"/>
        </w:rPr>
        <w:t>Aprovechar la característica de nuestro Sistema desalad que es universal e integrado (se tratan en los mismos dispositivos ambas patologías).</w:t>
      </w:r>
    </w:p>
    <w:p w14:paraId="10CDB751"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Acciones.</w:t>
      </w:r>
    </w:p>
    <w:p w14:paraId="34CC477E" w14:textId="43934B35" w:rsidR="003B5887" w:rsidRPr="006B6F53" w:rsidRDefault="003B5887" w:rsidP="003B5887">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 xml:space="preserve">En todas las estructuras y niveles del Sistema de Salud Mental se utilizará la historia clínica como documento básico para describir la patología dual. Cuando se cierre la historia Clínica se señalará el diagnóstico en la hoja resumen que se llena de la misma manera en que aparece en </w:t>
      </w:r>
      <w:smartTag w:uri="urn:schemas-microsoft-com:office:smarttags" w:element="PersonName">
        <w:smartTagPr>
          <w:attr w:name="ProductID" w:val="la Discusi￳n Diagn￳stica."/>
        </w:smartTagPr>
        <w:r w:rsidRPr="006B6F53">
          <w:rPr>
            <w:rFonts w:ascii="Arial" w:hAnsi="Arial"/>
            <w:b/>
            <w:bCs/>
            <w:i/>
            <w:iCs/>
            <w:sz w:val="24"/>
            <w:szCs w:val="24"/>
            <w:u w:val="single"/>
          </w:rPr>
          <w:t>la Discusión Diagnóstica.</w:t>
        </w:r>
      </w:smartTag>
    </w:p>
    <w:p w14:paraId="2D773A65" w14:textId="00737CF8" w:rsidR="003B5887" w:rsidRPr="006B6F53" w:rsidRDefault="003B5887" w:rsidP="003B5887">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Acciones en Hospitales Psiquiátricos.</w:t>
      </w:r>
      <w:r w:rsidR="004D00B6" w:rsidRPr="006B6F53">
        <w:rPr>
          <w:rFonts w:ascii="Arial" w:hAnsi="Arial"/>
          <w:b/>
          <w:bCs/>
          <w:i/>
          <w:iCs/>
          <w:sz w:val="24"/>
          <w:szCs w:val="24"/>
          <w:u w:val="single"/>
        </w:rPr>
        <w:t xml:space="preserve"> </w:t>
      </w:r>
    </w:p>
    <w:p w14:paraId="698DE320" w14:textId="01548E7E" w:rsidR="004D00B6" w:rsidRPr="006B6F53" w:rsidRDefault="004D00B6" w:rsidP="004D00B6">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Favorecer la atención especializada de la enfermedad grave crónica comórbida con trastornos por uso de sustancias, con las medidas de rigor para el personal sanitario, dada las características de esta población.</w:t>
      </w:r>
    </w:p>
    <w:p w14:paraId="52080F5B" w14:textId="0F23A7B7" w:rsidR="003B5887" w:rsidRPr="006B6F53" w:rsidRDefault="003B5887" w:rsidP="003B5887">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lastRenderedPageBreak/>
        <w:t>Acciones en Servicios de Agudos.</w:t>
      </w:r>
    </w:p>
    <w:p w14:paraId="0BC29C58" w14:textId="01C4BF6A" w:rsidR="004D00B6" w:rsidRPr="006B6F53" w:rsidRDefault="004D00B6" w:rsidP="004D00B6">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 xml:space="preserve">Favorecer la atención especializada de la enfermedad grave aguda comórbida con trastornos por uso de sustancias, con las medidas de rigor para el personal sanitario, dada las características de esta población. </w:t>
      </w:r>
    </w:p>
    <w:p w14:paraId="73EFF802" w14:textId="401AA7FF" w:rsidR="004D00B6" w:rsidRPr="006B6F53" w:rsidRDefault="004D00B6" w:rsidP="004D00B6">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Activar los protocolos de desintoxicación según la sustancia que predomine.</w:t>
      </w:r>
    </w:p>
    <w:p w14:paraId="65E5E059" w14:textId="77777777" w:rsidR="004D00B6" w:rsidRPr="006B6F53" w:rsidRDefault="004D00B6" w:rsidP="004D00B6">
      <w:pPr>
        <w:pStyle w:val="Prrafodelista"/>
        <w:spacing w:line="360" w:lineRule="auto"/>
        <w:ind w:left="1080"/>
        <w:jc w:val="both"/>
        <w:rPr>
          <w:rFonts w:ascii="Arial" w:hAnsi="Arial"/>
          <w:b/>
          <w:bCs/>
          <w:i/>
          <w:iCs/>
          <w:sz w:val="24"/>
          <w:szCs w:val="24"/>
          <w:u w:val="single"/>
        </w:rPr>
      </w:pPr>
    </w:p>
    <w:p w14:paraId="1A41E7A8" w14:textId="59ABC511" w:rsidR="003B5887" w:rsidRPr="006B6F53" w:rsidRDefault="003B5887" w:rsidP="003B5887">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Acciones en Departamentos de Salud Mental.</w:t>
      </w:r>
    </w:p>
    <w:p w14:paraId="2DB3F871" w14:textId="1B34E397" w:rsidR="004D00B6" w:rsidRPr="006B6F53" w:rsidRDefault="004D00B6" w:rsidP="004D00B6">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Favorecer opciones virtuales de atención sobre todo con el uso del teléfono en nuestro caso para evitar aglomeraciones y estimular el aislamiento social.</w:t>
      </w:r>
    </w:p>
    <w:p w14:paraId="570BD5E5" w14:textId="4C89A4EF" w:rsidR="004D00B6" w:rsidRPr="006B6F53" w:rsidRDefault="004D00B6" w:rsidP="004D00B6">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En los casos graves que requieran ingreso utilizar la red de servicios universales y públicos de nuestro sistema para garantizar la atención continuada</w:t>
      </w:r>
    </w:p>
    <w:p w14:paraId="6D60EA73" w14:textId="07BCA13C" w:rsidR="003B5887" w:rsidRPr="006B6F53" w:rsidRDefault="003B5887" w:rsidP="003B5887">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Acciones en Servicios Especializados en Adicciones.</w:t>
      </w:r>
    </w:p>
    <w:p w14:paraId="08AFF78E" w14:textId="77777777" w:rsidR="006B6F53" w:rsidRPr="006B6F53" w:rsidRDefault="006B6F53" w:rsidP="006B6F53">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 xml:space="preserve">Favorecer la atención especializada de la enfermedad grave aguda comórbida con trastornos por uso de sustancias, con las medidas de rigor para el personal sanitario, dada las características de esta población. </w:t>
      </w:r>
    </w:p>
    <w:p w14:paraId="61B8BE9A" w14:textId="7C5AC3C8" w:rsidR="006B6F53" w:rsidRPr="006B6F53" w:rsidRDefault="006B6F53" w:rsidP="006B6F53">
      <w:pPr>
        <w:pStyle w:val="Prrafodelista"/>
        <w:spacing w:line="360" w:lineRule="auto"/>
        <w:ind w:left="1080"/>
        <w:jc w:val="both"/>
        <w:rPr>
          <w:rFonts w:ascii="Arial" w:hAnsi="Arial"/>
          <w:b/>
          <w:bCs/>
          <w:i/>
          <w:iCs/>
          <w:sz w:val="24"/>
          <w:szCs w:val="24"/>
          <w:u w:val="single"/>
        </w:rPr>
      </w:pPr>
      <w:r w:rsidRPr="006B6F53">
        <w:rPr>
          <w:rFonts w:ascii="Arial" w:hAnsi="Arial"/>
          <w:b/>
          <w:bCs/>
          <w:i/>
          <w:iCs/>
          <w:sz w:val="24"/>
          <w:szCs w:val="24"/>
          <w:u w:val="single"/>
        </w:rPr>
        <w:t>Activar los protocolos de desintoxicación según la sustancia que predomine.</w:t>
      </w:r>
    </w:p>
    <w:p w14:paraId="42C96B43" w14:textId="60A63532" w:rsidR="006B6F53" w:rsidRPr="006B6F53" w:rsidRDefault="006B6F53" w:rsidP="006B6F53">
      <w:pPr>
        <w:pStyle w:val="Prrafodelista"/>
        <w:numPr>
          <w:ilvl w:val="0"/>
          <w:numId w:val="2"/>
        </w:numPr>
        <w:spacing w:line="360" w:lineRule="auto"/>
        <w:jc w:val="both"/>
        <w:rPr>
          <w:rFonts w:ascii="Arial" w:hAnsi="Arial"/>
          <w:b/>
          <w:bCs/>
          <w:i/>
          <w:iCs/>
          <w:sz w:val="24"/>
          <w:szCs w:val="24"/>
          <w:u w:val="single"/>
        </w:rPr>
      </w:pPr>
      <w:r w:rsidRPr="006B6F53">
        <w:rPr>
          <w:rFonts w:ascii="Arial" w:hAnsi="Arial"/>
          <w:b/>
          <w:bCs/>
          <w:i/>
          <w:iCs/>
          <w:sz w:val="24"/>
          <w:szCs w:val="24"/>
          <w:u w:val="single"/>
        </w:rPr>
        <w:t>En los casos de pacientes deambulantes activar el sistema de referencia a los centros de clasificación de deambulantes</w:t>
      </w:r>
    </w:p>
    <w:p w14:paraId="16C41B5F" w14:textId="77777777" w:rsidR="006B6F53" w:rsidRPr="006B6F53" w:rsidRDefault="006B6F53" w:rsidP="006B6F53">
      <w:pPr>
        <w:pStyle w:val="Prrafodelista"/>
        <w:spacing w:line="360" w:lineRule="auto"/>
        <w:ind w:left="1080"/>
        <w:jc w:val="both"/>
        <w:rPr>
          <w:rFonts w:ascii="Arial" w:hAnsi="Arial"/>
          <w:b/>
          <w:bCs/>
          <w:i/>
          <w:iCs/>
          <w:sz w:val="24"/>
          <w:szCs w:val="24"/>
          <w:u w:val="single"/>
        </w:rPr>
      </w:pPr>
    </w:p>
    <w:p w14:paraId="6BC6B903" w14:textId="77777777" w:rsidR="006B6F53" w:rsidRPr="006B6F53" w:rsidRDefault="006B6F53" w:rsidP="006B6F53">
      <w:pPr>
        <w:spacing w:line="360" w:lineRule="auto"/>
        <w:jc w:val="both"/>
        <w:rPr>
          <w:rFonts w:ascii="Arial" w:hAnsi="Arial"/>
          <w:b/>
          <w:bCs/>
          <w:i/>
          <w:iCs/>
          <w:sz w:val="24"/>
          <w:szCs w:val="24"/>
          <w:u w:val="single"/>
        </w:rPr>
      </w:pPr>
    </w:p>
    <w:p w14:paraId="3A0F367D"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Incluir los Protocolos de Actuación en Patología Dual del 2016</w:t>
      </w:r>
    </w:p>
    <w:p w14:paraId="74AA24DC"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Estos incluyen:</w:t>
      </w:r>
    </w:p>
    <w:p w14:paraId="3E5508C1"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 xml:space="preserve">Protocolo de Actuación en Esquizofrenia, Trastorno Bipolar, Ansiedad, depresión, Trastornos de </w:t>
      </w:r>
      <w:smartTag w:uri="urn:schemas-microsoft-com:office:smarttags" w:element="PersonName">
        <w:smartTagPr>
          <w:attr w:name="ProductID" w:val="la Personalidad"/>
        </w:smartTagPr>
        <w:r w:rsidRPr="006B6F53">
          <w:rPr>
            <w:rFonts w:ascii="Arial" w:hAnsi="Arial"/>
            <w:b/>
            <w:bCs/>
            <w:i/>
            <w:iCs/>
            <w:sz w:val="24"/>
            <w:szCs w:val="24"/>
            <w:u w:val="single"/>
          </w:rPr>
          <w:t>la Personalidad</w:t>
        </w:r>
      </w:smartTag>
      <w:r w:rsidRPr="006B6F53">
        <w:rPr>
          <w:rFonts w:ascii="Arial" w:hAnsi="Arial"/>
          <w:b/>
          <w:bCs/>
          <w:i/>
          <w:iCs/>
          <w:sz w:val="24"/>
          <w:szCs w:val="24"/>
          <w:u w:val="single"/>
        </w:rPr>
        <w:t>, Trastorno por Déficit de Atención e Impulsividad, Adolescencia.</w:t>
      </w:r>
    </w:p>
    <w:p w14:paraId="5F3D9F44" w14:textId="77777777" w:rsidR="003B5887" w:rsidRPr="006B6F53" w:rsidRDefault="003B5887" w:rsidP="003B5887">
      <w:pPr>
        <w:pStyle w:val="Prrafodelista"/>
        <w:spacing w:line="360" w:lineRule="auto"/>
        <w:ind w:left="0"/>
        <w:jc w:val="both"/>
        <w:rPr>
          <w:rFonts w:ascii="Arial" w:hAnsi="Arial"/>
          <w:b/>
          <w:bCs/>
          <w:i/>
          <w:iCs/>
          <w:sz w:val="24"/>
          <w:szCs w:val="24"/>
          <w:u w:val="single"/>
        </w:rPr>
      </w:pPr>
      <w:r w:rsidRPr="006B6F53">
        <w:rPr>
          <w:rFonts w:ascii="Arial" w:hAnsi="Arial"/>
          <w:b/>
          <w:bCs/>
          <w:i/>
          <w:iCs/>
          <w:sz w:val="24"/>
          <w:szCs w:val="24"/>
          <w:u w:val="single"/>
        </w:rPr>
        <w:t>Desarrollar sus propios planes de actuación ajustados.</w:t>
      </w:r>
    </w:p>
    <w:p w14:paraId="5A13D4A9" w14:textId="77777777" w:rsidR="003B5887" w:rsidRPr="006B6F53" w:rsidRDefault="003B5887" w:rsidP="003B5887">
      <w:pPr>
        <w:pStyle w:val="Prrafodelista"/>
        <w:spacing w:line="360" w:lineRule="auto"/>
        <w:ind w:left="0"/>
        <w:jc w:val="both"/>
        <w:rPr>
          <w:rFonts w:ascii="Arial" w:hAnsi="Arial"/>
          <w:b/>
          <w:bCs/>
          <w:i/>
          <w:iCs/>
          <w:sz w:val="24"/>
          <w:szCs w:val="24"/>
          <w:u w:val="single"/>
        </w:rPr>
      </w:pPr>
    </w:p>
    <w:p w14:paraId="440246CD" w14:textId="77777777" w:rsidR="003B5887" w:rsidRPr="006B6F53" w:rsidRDefault="003B5887">
      <w:pPr>
        <w:rPr>
          <w:b/>
          <w:bCs/>
          <w:i/>
          <w:iCs/>
          <w:u w:val="single"/>
        </w:rPr>
      </w:pPr>
    </w:p>
    <w:p w14:paraId="0ED05CCA" w14:textId="6A846348" w:rsidR="003B5887" w:rsidRPr="006B6F53" w:rsidRDefault="003B5887">
      <w:pPr>
        <w:rPr>
          <w:b/>
          <w:bCs/>
          <w:i/>
          <w:iCs/>
          <w:u w:val="single"/>
        </w:rPr>
      </w:pPr>
    </w:p>
    <w:p w14:paraId="73E1C04F" w14:textId="77777777" w:rsidR="003B5887" w:rsidRDefault="003B5887"/>
    <w:sectPr w:rsidR="003B58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A5697"/>
    <w:multiLevelType w:val="hybridMultilevel"/>
    <w:tmpl w:val="9482C7A0"/>
    <w:lvl w:ilvl="0" w:tplc="91B2FDD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3656372E"/>
    <w:multiLevelType w:val="hybridMultilevel"/>
    <w:tmpl w:val="B6D8EAC2"/>
    <w:lvl w:ilvl="0" w:tplc="CA78180A">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4EEB5809"/>
    <w:multiLevelType w:val="hybridMultilevel"/>
    <w:tmpl w:val="F00CA646"/>
    <w:lvl w:ilvl="0" w:tplc="60F2AE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50077F3"/>
    <w:multiLevelType w:val="hybridMultilevel"/>
    <w:tmpl w:val="71A08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87"/>
    <w:rsid w:val="00374110"/>
    <w:rsid w:val="003B5887"/>
    <w:rsid w:val="004D00B6"/>
    <w:rsid w:val="006B6F53"/>
    <w:rsid w:val="006D2940"/>
    <w:rsid w:val="00897ADA"/>
    <w:rsid w:val="00A55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71D97B"/>
  <w15:chartTrackingRefBased/>
  <w15:docId w15:val="{90437D3A-BCC5-4206-8C68-1EF7060C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B5887"/>
    <w:pPr>
      <w:spacing w:after="200" w:line="276" w:lineRule="auto"/>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4D00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0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2020-05-20T13:30:00Z</dcterms:created>
  <dcterms:modified xsi:type="dcterms:W3CDTF">2020-05-20T13:30:00Z</dcterms:modified>
</cp:coreProperties>
</file>