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B1878" w14:textId="4BB86427" w:rsidR="00374110" w:rsidRPr="00363EE8" w:rsidRDefault="00697CCE" w:rsidP="00363EE8">
      <w:pPr>
        <w:spacing w:line="360" w:lineRule="auto"/>
        <w:rPr>
          <w:rFonts w:ascii="Arial" w:hAnsi="Arial"/>
          <w:b/>
          <w:bCs/>
          <w:sz w:val="24"/>
        </w:rPr>
      </w:pPr>
      <w:r w:rsidRPr="00363EE8">
        <w:rPr>
          <w:rFonts w:ascii="Arial" w:hAnsi="Arial"/>
          <w:b/>
          <w:bCs/>
          <w:sz w:val="24"/>
        </w:rPr>
        <w:t>¿Qué deben hacer los pacientes que padecen de Trastornos de la Alimentación en el contexto de Covid-19?</w:t>
      </w:r>
    </w:p>
    <w:p w14:paraId="7BE6F7E1" w14:textId="0A760430" w:rsidR="00697CCE" w:rsidRPr="00363EE8" w:rsidRDefault="00697CCE" w:rsidP="00363EE8">
      <w:pPr>
        <w:spacing w:line="360" w:lineRule="auto"/>
        <w:rPr>
          <w:rFonts w:ascii="Arial" w:hAnsi="Arial"/>
          <w:b/>
          <w:bCs/>
          <w:sz w:val="24"/>
        </w:rPr>
      </w:pPr>
      <w:r w:rsidRPr="00363EE8">
        <w:rPr>
          <w:rFonts w:ascii="Arial" w:hAnsi="Arial"/>
          <w:b/>
          <w:bCs/>
          <w:sz w:val="24"/>
        </w:rPr>
        <w:t xml:space="preserve">Autor: </w:t>
      </w:r>
    </w:p>
    <w:p w14:paraId="6C8B5DC8" w14:textId="058E0299" w:rsidR="00697CCE" w:rsidRPr="00363EE8" w:rsidRDefault="00697CCE" w:rsidP="00363EE8">
      <w:pPr>
        <w:spacing w:line="360" w:lineRule="auto"/>
        <w:rPr>
          <w:rFonts w:ascii="Arial" w:hAnsi="Arial"/>
          <w:b/>
          <w:bCs/>
          <w:sz w:val="24"/>
        </w:rPr>
      </w:pPr>
      <w:r w:rsidRPr="00363EE8">
        <w:rPr>
          <w:rFonts w:ascii="Arial" w:hAnsi="Arial"/>
          <w:b/>
          <w:bCs/>
          <w:sz w:val="24"/>
        </w:rPr>
        <w:t>Dr. C Antonio J. Caballero Moreno</w:t>
      </w:r>
    </w:p>
    <w:p w14:paraId="34065AE9" w14:textId="477842CC" w:rsidR="00697CCE" w:rsidRPr="00363EE8" w:rsidRDefault="00697CCE" w:rsidP="00363EE8">
      <w:pPr>
        <w:spacing w:line="360" w:lineRule="auto"/>
        <w:rPr>
          <w:rFonts w:ascii="Arial" w:hAnsi="Arial"/>
          <w:b/>
          <w:bCs/>
          <w:sz w:val="24"/>
        </w:rPr>
      </w:pPr>
      <w:r w:rsidRPr="00363EE8">
        <w:rPr>
          <w:rFonts w:ascii="Arial" w:hAnsi="Arial"/>
          <w:b/>
          <w:bCs/>
          <w:sz w:val="24"/>
        </w:rPr>
        <w:t>Profesor e Investigador Titular</w:t>
      </w:r>
    </w:p>
    <w:p w14:paraId="6BA75550" w14:textId="1026D59A" w:rsidR="00697CCE" w:rsidRPr="00363EE8" w:rsidRDefault="00697CCE" w:rsidP="00363EE8">
      <w:pPr>
        <w:spacing w:line="360" w:lineRule="auto"/>
        <w:rPr>
          <w:rFonts w:ascii="Arial" w:hAnsi="Arial"/>
          <w:b/>
          <w:bCs/>
          <w:sz w:val="24"/>
        </w:rPr>
      </w:pPr>
      <w:r w:rsidRPr="00363EE8">
        <w:rPr>
          <w:rFonts w:ascii="Arial" w:hAnsi="Arial"/>
          <w:b/>
          <w:bCs/>
          <w:sz w:val="24"/>
        </w:rPr>
        <w:t>Grupo Nacional de Psiquiatría</w:t>
      </w:r>
    </w:p>
    <w:p w14:paraId="3CDD2679" w14:textId="04549596" w:rsidR="00697CCE" w:rsidRPr="00363EE8" w:rsidRDefault="00697CCE" w:rsidP="00363EE8">
      <w:pPr>
        <w:spacing w:line="360" w:lineRule="auto"/>
        <w:rPr>
          <w:rFonts w:ascii="Arial" w:hAnsi="Arial"/>
          <w:b/>
          <w:bCs/>
          <w:sz w:val="24"/>
        </w:rPr>
      </w:pPr>
      <w:r w:rsidRPr="00363EE8">
        <w:rPr>
          <w:rFonts w:ascii="Arial" w:hAnsi="Arial"/>
          <w:b/>
          <w:bCs/>
          <w:sz w:val="24"/>
        </w:rPr>
        <w:t>Sección de Neurociencias SCP</w:t>
      </w:r>
    </w:p>
    <w:p w14:paraId="3BFB5D0E" w14:textId="352DB974" w:rsidR="00697CCE" w:rsidRPr="00363EE8" w:rsidRDefault="00697CCE" w:rsidP="00363EE8">
      <w:pPr>
        <w:spacing w:line="360" w:lineRule="auto"/>
        <w:rPr>
          <w:rFonts w:ascii="Arial" w:hAnsi="Arial"/>
          <w:b/>
          <w:bCs/>
          <w:sz w:val="24"/>
        </w:rPr>
      </w:pPr>
    </w:p>
    <w:p w14:paraId="3630690A" w14:textId="142D4208" w:rsidR="00697CCE" w:rsidRPr="00363EE8" w:rsidRDefault="00697CCE" w:rsidP="00363EE8">
      <w:pPr>
        <w:spacing w:line="360" w:lineRule="auto"/>
        <w:rPr>
          <w:rFonts w:ascii="Arial" w:hAnsi="Arial"/>
          <w:b/>
          <w:bCs/>
          <w:sz w:val="24"/>
        </w:rPr>
      </w:pPr>
      <w:r w:rsidRPr="00363EE8">
        <w:rPr>
          <w:rFonts w:ascii="Arial" w:hAnsi="Arial"/>
          <w:b/>
          <w:bCs/>
          <w:sz w:val="24"/>
        </w:rPr>
        <w:t>Trastornos de la Alimentación</w:t>
      </w:r>
    </w:p>
    <w:p w14:paraId="274AF656" w14:textId="77777777" w:rsidR="00697CCE" w:rsidRPr="00363EE8" w:rsidRDefault="00697CCE" w:rsidP="00363EE8">
      <w:pPr>
        <w:spacing w:line="360" w:lineRule="auto"/>
        <w:rPr>
          <w:rFonts w:ascii="Arial" w:hAnsi="Arial"/>
          <w:sz w:val="24"/>
        </w:rPr>
      </w:pPr>
    </w:p>
    <w:p w14:paraId="162F1E47" w14:textId="77777777" w:rsidR="00697CCE" w:rsidRPr="00363EE8" w:rsidRDefault="00697CCE" w:rsidP="00363EE8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Anorexia Nervosa (AN) y Bulimia Nervosa (BN) son trastornos caracterizados por patrones aberrantes de conducta alimentaria y regulación del peso y trastornos en actitudes y percepciones hacía el peso corporal y la figura.</w:t>
      </w:r>
    </w:p>
    <w:p w14:paraId="28A9419E" w14:textId="77777777" w:rsidR="00697CCE" w:rsidRPr="00363EE8" w:rsidRDefault="00697CCE" w:rsidP="00363EE8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Los pacientes con AN tienen un miedo inexplicable a ganar peso y una preocupación con la obesidad aún con caquexia creciente.</w:t>
      </w:r>
    </w:p>
    <w:p w14:paraId="00470A3E" w14:textId="77777777" w:rsidR="00697CCE" w:rsidRPr="00363EE8" w:rsidRDefault="00697CCE" w:rsidP="00363EE8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La BN usualmente emerge después de un período de dieta, la cual puede o no estar asociada a pérdida de peso.</w:t>
      </w:r>
    </w:p>
    <w:p w14:paraId="7B1C6879" w14:textId="14603327" w:rsidR="00697CCE" w:rsidRPr="00363EE8" w:rsidRDefault="00697CCE" w:rsidP="00363EE8">
      <w:pPr>
        <w:spacing w:line="360" w:lineRule="auto"/>
        <w:rPr>
          <w:rFonts w:ascii="Arial" w:hAnsi="Arial"/>
          <w:sz w:val="24"/>
          <w:szCs w:val="24"/>
        </w:rPr>
      </w:pPr>
    </w:p>
    <w:p w14:paraId="49971AF6" w14:textId="7F0FE900" w:rsidR="00697CCE" w:rsidRPr="00363EE8" w:rsidRDefault="00697CCE" w:rsidP="00363EE8">
      <w:pPr>
        <w:spacing w:line="360" w:lineRule="auto"/>
        <w:rPr>
          <w:rFonts w:ascii="Arial" w:hAnsi="Arial"/>
          <w:b/>
          <w:bCs/>
          <w:sz w:val="24"/>
          <w:szCs w:val="24"/>
        </w:rPr>
      </w:pPr>
      <w:r w:rsidRPr="00363EE8">
        <w:rPr>
          <w:rFonts w:ascii="Arial" w:hAnsi="Arial"/>
          <w:b/>
          <w:bCs/>
          <w:sz w:val="24"/>
          <w:szCs w:val="24"/>
        </w:rPr>
        <w:t>Datos Preliminares</w:t>
      </w:r>
    </w:p>
    <w:p w14:paraId="206A9086" w14:textId="33373155" w:rsidR="00697CCE" w:rsidRPr="00363EE8" w:rsidRDefault="00697CCE" w:rsidP="00363EE8">
      <w:pPr>
        <w:spacing w:line="360" w:lineRule="auto"/>
        <w:rPr>
          <w:rFonts w:ascii="Arial" w:hAnsi="Arial"/>
          <w:sz w:val="24"/>
          <w:szCs w:val="24"/>
        </w:rPr>
      </w:pPr>
    </w:p>
    <w:p w14:paraId="41854419" w14:textId="5CC1C003" w:rsidR="00697CCE" w:rsidRPr="00363EE8" w:rsidRDefault="00697CCE" w:rsidP="00363EE8">
      <w:pPr>
        <w:pStyle w:val="Prrafodelista"/>
        <w:numPr>
          <w:ilvl w:val="0"/>
          <w:numId w:val="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El impulso a comer se continúa de vómito </w:t>
      </w:r>
      <w:r w:rsidR="000861C5"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autoinducido</w:t>
      </w:r>
      <w:bookmarkStart w:id="0" w:name="_GoBack"/>
      <w:bookmarkEnd w:id="0"/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o algunos otros medios de compensación por el exceso de alimentos ingeridos.</w:t>
      </w:r>
    </w:p>
    <w:p w14:paraId="30923AA4" w14:textId="77777777" w:rsidR="00697CCE" w:rsidRPr="00363EE8" w:rsidRDefault="00697CCE" w:rsidP="00363EE8">
      <w:pPr>
        <w:pStyle w:val="Prrafodelista"/>
        <w:numPr>
          <w:ilvl w:val="0"/>
          <w:numId w:val="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La mayoría de las personas con BN tienen patrones alimentarios irregulares y la saciedad puede estar afectada.</w:t>
      </w:r>
    </w:p>
    <w:p w14:paraId="74E06AF5" w14:textId="77777777" w:rsidR="00697CCE" w:rsidRPr="00363EE8" w:rsidRDefault="00697CCE" w:rsidP="00363EE8">
      <w:pPr>
        <w:pStyle w:val="Prrafodelista"/>
        <w:numPr>
          <w:ilvl w:val="0"/>
          <w:numId w:val="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Cerca de un 25-30% de los individuos con BN que se presentan a tratamiento tienen una historia de AN.</w:t>
      </w:r>
    </w:p>
    <w:p w14:paraId="777075C1" w14:textId="77777777" w:rsidR="00697CCE" w:rsidRPr="00363EE8" w:rsidRDefault="00697CCE" w:rsidP="00363EE8">
      <w:pPr>
        <w:pStyle w:val="Prrafodelista"/>
        <w:numPr>
          <w:ilvl w:val="0"/>
          <w:numId w:val="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Son comunes en los individuos con AN o BN presentar baja estima, depresión o ansiedad.</w:t>
      </w:r>
    </w:p>
    <w:p w14:paraId="3CA44B60" w14:textId="51603132" w:rsidR="00697CCE" w:rsidRPr="00363EE8" w:rsidRDefault="00697CCE" w:rsidP="00363EE8">
      <w:pPr>
        <w:pStyle w:val="Prrafodelista"/>
        <w:numPr>
          <w:ilvl w:val="0"/>
          <w:numId w:val="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/>
          <w:color w:val="000000" w:themeColor="text1"/>
          <w:kern w:val="24"/>
          <w:lang w:val="es-ES_tradnl"/>
        </w:rPr>
        <w:lastRenderedPageBreak/>
        <w:t xml:space="preserve">Debido a que una conducta hacía la alimentación es constreñida y que cogniciones disfuncionales con relación al peso y la figura a el </w:t>
      </w:r>
      <w:r w:rsidR="00363EE8" w:rsidRPr="00363EE8">
        <w:rPr>
          <w:rFonts w:ascii="Arial" w:eastAsiaTheme="minorEastAsia" w:hAnsi="Arial"/>
          <w:color w:val="000000" w:themeColor="text1"/>
          <w:kern w:val="24"/>
          <w:lang w:val="es-ES_tradnl"/>
        </w:rPr>
        <w:t>autoconcepto</w:t>
      </w:r>
      <w:r w:rsidRPr="00363EE8">
        <w:rPr>
          <w:rFonts w:ascii="Arial" w:eastAsiaTheme="minorEastAsia" w:hAnsi="Arial"/>
          <w:color w:val="000000" w:themeColor="text1"/>
          <w:kern w:val="24"/>
          <w:lang w:val="es-ES_tradnl"/>
        </w:rPr>
        <w:t xml:space="preserve"> son compartidas por los pacientes con ambos síndromes, y debido a que hay transiciones entre síndromes que ocurren en muchos, se ha argumentado que AN y BN comparten al menos algunos riesgos y factores de vulnerabilidad.</w:t>
      </w:r>
    </w:p>
    <w:p w14:paraId="05EC6A09" w14:textId="77777777" w:rsidR="00697CCE" w:rsidRPr="00363EE8" w:rsidRDefault="00697CCE" w:rsidP="00363EE8">
      <w:pPr>
        <w:pStyle w:val="Prrafodelista"/>
        <w:numPr>
          <w:ilvl w:val="0"/>
          <w:numId w:val="3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La etiología de AN y BN se presume que es compleja e influida de manera múltiple por procesos de desarrollo, sociales y biológicos.</w:t>
      </w:r>
    </w:p>
    <w:p w14:paraId="4FE981ED" w14:textId="30625A96" w:rsidR="00697CCE" w:rsidRPr="00363EE8" w:rsidRDefault="00697CCE" w:rsidP="00363EE8">
      <w:pPr>
        <w:spacing w:line="360" w:lineRule="auto"/>
        <w:rPr>
          <w:rFonts w:ascii="Arial" w:hAnsi="Arial"/>
          <w:sz w:val="24"/>
          <w:szCs w:val="24"/>
        </w:rPr>
      </w:pPr>
    </w:p>
    <w:p w14:paraId="045155A3" w14:textId="192E7154" w:rsidR="00697CCE" w:rsidRPr="00363EE8" w:rsidRDefault="00697CCE" w:rsidP="00363EE8">
      <w:pPr>
        <w:spacing w:line="360" w:lineRule="auto"/>
        <w:rPr>
          <w:rFonts w:ascii="Arial" w:hAnsi="Arial"/>
          <w:b/>
          <w:bCs/>
          <w:sz w:val="24"/>
          <w:szCs w:val="24"/>
        </w:rPr>
      </w:pPr>
      <w:r w:rsidRPr="00363EE8">
        <w:rPr>
          <w:rFonts w:ascii="Arial" w:hAnsi="Arial"/>
          <w:b/>
          <w:bCs/>
          <w:sz w:val="24"/>
          <w:szCs w:val="24"/>
        </w:rPr>
        <w:t>Fenomenología Clínica</w:t>
      </w:r>
    </w:p>
    <w:p w14:paraId="25BE74D1" w14:textId="16942C7A" w:rsidR="00697CCE" w:rsidRPr="00363EE8" w:rsidRDefault="00697CCE" w:rsidP="00363EE8">
      <w:pPr>
        <w:spacing w:line="360" w:lineRule="auto"/>
        <w:rPr>
          <w:rFonts w:ascii="Arial" w:hAnsi="Arial"/>
          <w:sz w:val="24"/>
          <w:szCs w:val="24"/>
        </w:rPr>
      </w:pPr>
    </w:p>
    <w:p w14:paraId="1F1A28FF" w14:textId="1D9848E0" w:rsidR="00697CCE" w:rsidRPr="00363EE8" w:rsidRDefault="00697CCE" w:rsidP="00363EE8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Las variaciones en la conducta alimentaria han sido usadas para subdividir a los individuos con A</w:t>
      </w: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norexia </w:t>
      </w: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N</w:t>
      </w: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ervosa</w:t>
      </w: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en dos subgrupos diagnósticos principales:</w:t>
      </w:r>
    </w:p>
    <w:p w14:paraId="49A373E9" w14:textId="77777777" w:rsidR="00697CCE" w:rsidRPr="00363EE8" w:rsidRDefault="00697CCE" w:rsidP="00363EE8">
      <w:pPr>
        <w:pStyle w:val="NormalWeb"/>
        <w:kinsoku w:val="0"/>
        <w:overflowPunct w:val="0"/>
        <w:spacing w:before="288" w:beforeAutospacing="0" w:after="0" w:afterAutospacing="0"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a. Tipo restrictivo: Peso corporal subnormal, estado de malnutrición continuado son mantenidos por una evitación de la alimentación no remitente.</w:t>
      </w:r>
    </w:p>
    <w:p w14:paraId="1EA2911B" w14:textId="05B1C910" w:rsidR="00697CCE" w:rsidRPr="00363EE8" w:rsidRDefault="00697CCE" w:rsidP="00363EE8">
      <w:pPr>
        <w:pStyle w:val="NormalWeb"/>
        <w:kinsoku w:val="0"/>
        <w:overflowPunct w:val="0"/>
        <w:spacing w:before="288" w:beforeAutospacing="0" w:after="0" w:afterAutospacing="0"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b. Restrictivo/purgativo: la pérdida de peso y la malnutrición son comparables, aunque el curso de la enfermedad está marcado por excesos de comida, seguido de conductas compensatorias tales como vómito </w:t>
      </w:r>
      <w:r w:rsidR="000861C5"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autoinducido</w:t>
      </w: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o abuso de laxantes.</w:t>
      </w:r>
    </w:p>
    <w:p w14:paraId="4D7B00C9" w14:textId="763070BE" w:rsidR="00697CCE" w:rsidRPr="00363EE8" w:rsidRDefault="00697CCE" w:rsidP="00363EE8">
      <w:pPr>
        <w:spacing w:line="360" w:lineRule="auto"/>
        <w:rPr>
          <w:rFonts w:ascii="Arial" w:hAnsi="Arial"/>
          <w:sz w:val="24"/>
          <w:szCs w:val="24"/>
        </w:rPr>
      </w:pPr>
    </w:p>
    <w:p w14:paraId="515ECE82" w14:textId="0F79B6D3" w:rsidR="00697CCE" w:rsidRPr="00363EE8" w:rsidRDefault="00697CCE" w:rsidP="00363EE8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Los aspectos nucleares de B</w:t>
      </w: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ulimia </w:t>
      </w: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N</w:t>
      </w: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ervosa</w:t>
      </w: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incluyen:</w:t>
      </w:r>
    </w:p>
    <w:p w14:paraId="3D2535A2" w14:textId="77777777" w:rsidR="00697CCE" w:rsidRPr="00363EE8" w:rsidRDefault="00697CCE" w:rsidP="00363EE8">
      <w:pPr>
        <w:pStyle w:val="NormalWeb"/>
        <w:kinsoku w:val="0"/>
        <w:overflowPunct w:val="0"/>
        <w:spacing w:before="288" w:beforeAutospacing="0" w:after="0" w:afterAutospacing="0"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Repetidos impulsos de atracones, seguidos de vómitos </w:t>
      </w:r>
      <w:proofErr w:type="spellStart"/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auto-inducidos</w:t>
      </w:r>
      <w:proofErr w:type="spellEnd"/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 compensatorios, abuso de laxantes o ejercicios patológicamente extremos, así como preocupaciones anormales con el peso y la figura.</w:t>
      </w:r>
    </w:p>
    <w:p w14:paraId="57874A9D" w14:textId="77777777" w:rsidR="00697CCE" w:rsidRPr="00363EE8" w:rsidRDefault="00697CCE" w:rsidP="00363EE8">
      <w:pPr>
        <w:pStyle w:val="NormalWeb"/>
        <w:kinsoku w:val="0"/>
        <w:overflowPunct w:val="0"/>
        <w:spacing w:before="288" w:beforeAutospacing="0" w:after="0" w:afterAutospacing="0"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 xml:space="preserve">Tipo purgativo: Se involucran en vómitos o laxantes </w:t>
      </w:r>
      <w:proofErr w:type="spellStart"/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auto-inducidos</w:t>
      </w:r>
      <w:proofErr w:type="spellEnd"/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, diuréticos o abuso de enemas.</w:t>
      </w:r>
    </w:p>
    <w:p w14:paraId="7C463CCD" w14:textId="77777777" w:rsidR="00697CCE" w:rsidRPr="00363EE8" w:rsidRDefault="00697CCE" w:rsidP="00363EE8">
      <w:pPr>
        <w:pStyle w:val="NormalWeb"/>
        <w:kinsoku w:val="0"/>
        <w:overflowPunct w:val="0"/>
        <w:spacing w:before="288" w:beforeAutospacing="0" w:after="0" w:afterAutospacing="0"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t>No purgativo: Ayuno o ejercicios.</w:t>
      </w:r>
    </w:p>
    <w:p w14:paraId="2D978786" w14:textId="4B678901" w:rsidR="00697CCE" w:rsidRPr="00363EE8" w:rsidRDefault="00697CCE" w:rsidP="00363EE8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 w:rsidRPr="00363EE8">
        <w:rPr>
          <w:rFonts w:ascii="Arial" w:eastAsiaTheme="minorEastAsia" w:hAnsi="Arial" w:cstheme="minorBidi"/>
          <w:color w:val="000000" w:themeColor="text1"/>
          <w:kern w:val="24"/>
          <w:lang w:val="es-ES_tradnl"/>
        </w:rPr>
        <w:lastRenderedPageBreak/>
        <w:t xml:space="preserve"> Se dan cifras de recuperación del 50% en ambos trastornos, otro tanto evoluciona hacía la cronicidad y algunos mueren (10% con AN)</w:t>
      </w:r>
    </w:p>
    <w:p w14:paraId="5DFFC8B9" w14:textId="38C4477C" w:rsidR="00697CCE" w:rsidRPr="00363EE8" w:rsidRDefault="00697CCE" w:rsidP="00363EE8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es-ES_tradnl"/>
        </w:rPr>
      </w:pPr>
    </w:p>
    <w:p w14:paraId="5CF73790" w14:textId="17FF3BD4" w:rsidR="00697CCE" w:rsidRPr="00363EE8" w:rsidRDefault="00697CCE" w:rsidP="00363EE8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/>
          <w:b/>
          <w:bCs/>
          <w:color w:val="000000" w:themeColor="text1"/>
          <w:kern w:val="24"/>
          <w:lang w:val="es-ES_tradnl"/>
        </w:rPr>
      </w:pPr>
      <w:r w:rsidRPr="00363EE8">
        <w:rPr>
          <w:rFonts w:ascii="Arial" w:eastAsiaTheme="minorEastAsia" w:hAnsi="Arial"/>
          <w:b/>
          <w:bCs/>
          <w:color w:val="000000" w:themeColor="text1"/>
          <w:kern w:val="24"/>
          <w:lang w:val="es-ES_tradnl"/>
        </w:rPr>
        <w:t>Contexto del C</w:t>
      </w:r>
      <w:r w:rsidR="00363EE8" w:rsidRPr="00363EE8">
        <w:rPr>
          <w:rFonts w:ascii="Arial" w:eastAsiaTheme="minorEastAsia" w:hAnsi="Arial"/>
          <w:b/>
          <w:bCs/>
          <w:color w:val="000000" w:themeColor="text1"/>
          <w:kern w:val="24"/>
          <w:lang w:val="es-ES_tradnl"/>
        </w:rPr>
        <w:t>OVID-19</w:t>
      </w:r>
    </w:p>
    <w:p w14:paraId="38900319" w14:textId="7C53F017" w:rsidR="00697CCE" w:rsidRDefault="00697CCE" w:rsidP="00363EE8">
      <w:p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sz w:val="24"/>
        </w:rPr>
      </w:pPr>
      <w:r w:rsidRPr="00363EE8">
        <w:rPr>
          <w:rFonts w:ascii="Arial" w:hAnsi="Arial"/>
          <w:sz w:val="24"/>
        </w:rPr>
        <w:t>Dado que los trastornos de la alimentación por sí mismos</w:t>
      </w:r>
      <w:r w:rsidR="00363EE8" w:rsidRPr="00363EE8">
        <w:rPr>
          <w:rFonts w:ascii="Arial" w:hAnsi="Arial"/>
          <w:sz w:val="24"/>
        </w:rPr>
        <w:t>, son difíciles de manejar, los pacientes tienen que enfrentar ahora un nuevo desafío en la forma de una pandemia que requiere de aislamiento social. La pandemia COVID-19 está cambiando toda nuestra manera de vivir. Para las personas con trastornos de la alimentación, crea nuevos estresores e interrupciones en el plan de tratamiento</w:t>
      </w:r>
      <w:r w:rsidR="00363EE8">
        <w:rPr>
          <w:rFonts w:ascii="Arial" w:hAnsi="Arial"/>
          <w:sz w:val="24"/>
        </w:rPr>
        <w:t>.</w:t>
      </w:r>
    </w:p>
    <w:p w14:paraId="3B2EA40F" w14:textId="18C97FE1" w:rsidR="00363EE8" w:rsidRDefault="00363EE8" w:rsidP="00363EE8">
      <w:p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b/>
          <w:bCs/>
          <w:sz w:val="24"/>
        </w:rPr>
      </w:pPr>
      <w:r w:rsidRPr="00363EE8">
        <w:rPr>
          <w:rFonts w:ascii="Arial" w:hAnsi="Arial"/>
          <w:b/>
          <w:bCs/>
          <w:sz w:val="24"/>
        </w:rPr>
        <w:t>Estrategias de Enfrentamiento:</w:t>
      </w:r>
    </w:p>
    <w:p w14:paraId="053B9E41" w14:textId="51770E42" w:rsidR="00363EE8" w:rsidRDefault="00363EE8" w:rsidP="00363EE8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Acepte sus sentimientos y sepa que Ud. no está solo: Recuerde que es normal sentirse sobrepasado, esta es una situación nueva que no habíamos presenciado antes.</w:t>
      </w:r>
    </w:p>
    <w:p w14:paraId="4732E8C1" w14:textId="5836BE1D" w:rsidR="00363EE8" w:rsidRDefault="00363EE8" w:rsidP="00363EE8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Debe darse un espacio para sentir sus pérdidas: laborales, de estudios, familiares, etc.</w:t>
      </w:r>
    </w:p>
    <w:p w14:paraId="472854D9" w14:textId="0C5A22ED" w:rsidR="00363EE8" w:rsidRDefault="00363EE8" w:rsidP="00363EE8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Pida ayuda: A su psiquiatra de cabecera o a su Departamento Comunitario de Salud Mental.</w:t>
      </w:r>
    </w:p>
    <w:p w14:paraId="78FA9C6F" w14:textId="1AC429C8" w:rsidR="00363EE8" w:rsidRDefault="003128B7" w:rsidP="00363EE8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Las cosas que puede hacer en casa:</w:t>
      </w:r>
    </w:p>
    <w:p w14:paraId="7283B026" w14:textId="5560DA1D" w:rsidR="003128B7" w:rsidRDefault="003128B7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Si tiene conexión por internet o teléfono fijo o móvil comuníquese con la familia, el terapeuta o sus amigos acerca de lo que siente.</w:t>
      </w:r>
    </w:p>
    <w:p w14:paraId="7F9C6A4A" w14:textId="310ECF02" w:rsidR="003128B7" w:rsidRDefault="003128B7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Cree una rutina, es mejor establecer un esquema, practicando incluso nuevos hábitos.</w:t>
      </w:r>
    </w:p>
    <w:p w14:paraId="2028512D" w14:textId="2A88A186" w:rsidR="003128B7" w:rsidRDefault="003128B7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Planifique sus alimentos: trate de comer tres veces al día y de merendar al menos dos, recuerde que una buena nutrición lo hace más resistente.</w:t>
      </w:r>
    </w:p>
    <w:p w14:paraId="56A94BD3" w14:textId="54C3902E" w:rsidR="003128B7" w:rsidRDefault="003128B7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Enfrente sus miedos a la alimentación: todos los alimentos son buenos.</w:t>
      </w:r>
    </w:p>
    <w:p w14:paraId="6D7F0901" w14:textId="2099D374" w:rsidR="003128B7" w:rsidRDefault="003128B7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Practique la </w:t>
      </w:r>
      <w:r w:rsidR="000861C5">
        <w:rPr>
          <w:rFonts w:ascii="Arial" w:hAnsi="Arial"/>
        </w:rPr>
        <w:t>autocompasión</w:t>
      </w:r>
      <w:r>
        <w:rPr>
          <w:rFonts w:ascii="Arial" w:hAnsi="Arial"/>
        </w:rPr>
        <w:t>: Cuando se sienta sobrepasado por sus miedos, practique técnicas de enfrentamiento, esto es lo más sabio.</w:t>
      </w:r>
    </w:p>
    <w:p w14:paraId="30584EA3" w14:textId="3299E473" w:rsidR="003128B7" w:rsidRDefault="003128B7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Considere el ejercicio moderado: Puede usar su propia vivienda.</w:t>
      </w:r>
    </w:p>
    <w:p w14:paraId="0503133B" w14:textId="015E486C" w:rsidR="003128B7" w:rsidRDefault="003128B7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lastRenderedPageBreak/>
        <w:t>Enfrente sus temores a la imagen: Si lo necesita vístase, limite la observación del cuerpo.</w:t>
      </w:r>
    </w:p>
    <w:p w14:paraId="190D028C" w14:textId="7F21FBDB" w:rsidR="003128B7" w:rsidRDefault="000861C5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No juzgue su peso corporal no lo chequee demasiado, esto le puede hacer daño.</w:t>
      </w:r>
    </w:p>
    <w:p w14:paraId="55C7F811" w14:textId="214DBD20" w:rsidR="000861C5" w:rsidRDefault="000861C5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Apoyo familiar: el apoyo de la familia es fundamental.</w:t>
      </w:r>
    </w:p>
    <w:p w14:paraId="3E5D2FBE" w14:textId="0EE9EBAA" w:rsidR="000861C5" w:rsidRDefault="000861C5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Tome precauciones extras: Las personas con trastornos de la alimentación son más vulnerables al virus, manténgase en casa.</w:t>
      </w:r>
    </w:p>
    <w:p w14:paraId="3F029D51" w14:textId="3B720FCB" w:rsidR="000861C5" w:rsidRDefault="000861C5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Practique o aprenda nuevas técnicas de enfrentamiento: sueño regular, relajación, etc.</w:t>
      </w:r>
    </w:p>
    <w:p w14:paraId="21D4ABA0" w14:textId="77777777" w:rsidR="000861C5" w:rsidRDefault="000861C5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</w:p>
    <w:p w14:paraId="73C8A8A9" w14:textId="77777777" w:rsidR="000861C5" w:rsidRDefault="000861C5" w:rsidP="003128B7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</w:rPr>
      </w:pPr>
    </w:p>
    <w:p w14:paraId="4935A85C" w14:textId="77777777" w:rsidR="003128B7" w:rsidRPr="00363EE8" w:rsidRDefault="003128B7" w:rsidP="003128B7">
      <w:pPr>
        <w:pStyle w:val="Prrafodelista"/>
        <w:kinsoku w:val="0"/>
        <w:overflowPunct w:val="0"/>
        <w:spacing w:line="360" w:lineRule="auto"/>
        <w:ind w:left="1440"/>
        <w:jc w:val="both"/>
        <w:textAlignment w:val="baseline"/>
        <w:rPr>
          <w:rFonts w:ascii="Arial" w:hAnsi="Arial"/>
        </w:rPr>
      </w:pPr>
    </w:p>
    <w:p w14:paraId="67B4A923" w14:textId="77777777" w:rsidR="00363EE8" w:rsidRDefault="00363EE8" w:rsidP="00363EE8">
      <w:p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sz w:val="24"/>
        </w:rPr>
      </w:pPr>
    </w:p>
    <w:p w14:paraId="601132AD" w14:textId="5DA6649D" w:rsidR="00363EE8" w:rsidRPr="00363EE8" w:rsidRDefault="00363EE8" w:rsidP="00363EE8">
      <w:p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sz w:val="24"/>
        </w:rPr>
      </w:pPr>
    </w:p>
    <w:p w14:paraId="1BC2E7A4" w14:textId="77777777" w:rsidR="00363EE8" w:rsidRPr="00363EE8" w:rsidRDefault="00363EE8" w:rsidP="00363EE8">
      <w:p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sz w:val="24"/>
        </w:rPr>
      </w:pPr>
    </w:p>
    <w:p w14:paraId="155DB625" w14:textId="77777777" w:rsidR="00697CCE" w:rsidRPr="00363EE8" w:rsidRDefault="00697CCE" w:rsidP="00363EE8">
      <w:pPr>
        <w:spacing w:line="360" w:lineRule="auto"/>
        <w:rPr>
          <w:rFonts w:ascii="Arial" w:hAnsi="Arial"/>
          <w:sz w:val="24"/>
          <w:szCs w:val="24"/>
        </w:rPr>
      </w:pPr>
    </w:p>
    <w:sectPr w:rsidR="00697CCE" w:rsidRPr="00363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E6551"/>
    <w:multiLevelType w:val="hybridMultilevel"/>
    <w:tmpl w:val="42F29BC0"/>
    <w:lvl w:ilvl="0" w:tplc="B0DE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08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56D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AE4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9C8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70E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ACF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54A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601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215681"/>
    <w:multiLevelType w:val="hybridMultilevel"/>
    <w:tmpl w:val="CFB6F982"/>
    <w:lvl w:ilvl="0" w:tplc="B6661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684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A2F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6CB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B06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4A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8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CB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CAB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8205F6"/>
    <w:multiLevelType w:val="hybridMultilevel"/>
    <w:tmpl w:val="D9924884"/>
    <w:lvl w:ilvl="0" w:tplc="51127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CA5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28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CC6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2B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38E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3C6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2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88F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1092984"/>
    <w:multiLevelType w:val="hybridMultilevel"/>
    <w:tmpl w:val="D12054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14764F"/>
    <w:multiLevelType w:val="hybridMultilevel"/>
    <w:tmpl w:val="246CB8D8"/>
    <w:lvl w:ilvl="0" w:tplc="C0F64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E5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929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9A2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200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6F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F47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A0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C62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B32467A"/>
    <w:multiLevelType w:val="hybridMultilevel"/>
    <w:tmpl w:val="0922E1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8247B"/>
    <w:multiLevelType w:val="hybridMultilevel"/>
    <w:tmpl w:val="8A50BC0E"/>
    <w:lvl w:ilvl="0" w:tplc="D8D2A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BCE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944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0A0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16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EF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963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9EF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22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1E270B6"/>
    <w:multiLevelType w:val="hybridMultilevel"/>
    <w:tmpl w:val="75EEC818"/>
    <w:lvl w:ilvl="0" w:tplc="B2D04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6AC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A0D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CC2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C0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A0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BC9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EA5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85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CE"/>
    <w:rsid w:val="000861C5"/>
    <w:rsid w:val="003128B7"/>
    <w:rsid w:val="00363EE8"/>
    <w:rsid w:val="00374110"/>
    <w:rsid w:val="006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ABD9"/>
  <w15:chartTrackingRefBased/>
  <w15:docId w15:val="{57C05A17-359D-4A64-B6A2-5E22B299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9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7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14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099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110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293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20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95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217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69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1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85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00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1</cp:revision>
  <dcterms:created xsi:type="dcterms:W3CDTF">2020-04-19T16:08:00Z</dcterms:created>
  <dcterms:modified xsi:type="dcterms:W3CDTF">2020-04-19T16:44:00Z</dcterms:modified>
</cp:coreProperties>
</file>