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DE725" w14:textId="77777777" w:rsidR="00ED1C9C" w:rsidRPr="00DC7715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 xml:space="preserve">¿Qué deben hacer los pacientes que padecen de Trastorno </w:t>
      </w:r>
      <w:r>
        <w:rPr>
          <w:rFonts w:ascii="Arial" w:hAnsi="Arial"/>
          <w:b/>
          <w:sz w:val="24"/>
        </w:rPr>
        <w:t>por Déficit de Atención e Hiperactividad</w:t>
      </w:r>
      <w:r w:rsidRPr="00DC7715">
        <w:rPr>
          <w:rFonts w:ascii="Arial" w:hAnsi="Arial"/>
          <w:b/>
          <w:sz w:val="24"/>
        </w:rPr>
        <w:t xml:space="preserve"> en el contexto de Covid-19?</w:t>
      </w:r>
    </w:p>
    <w:p w14:paraId="12093A08" w14:textId="77777777" w:rsidR="00ED1C9C" w:rsidRPr="00DC7715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 xml:space="preserve">Autor: </w:t>
      </w:r>
    </w:p>
    <w:p w14:paraId="0703F23E" w14:textId="77777777" w:rsidR="00ED1C9C" w:rsidRPr="00DC7715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Dr. C Antonio J. Caballero Moreno</w:t>
      </w:r>
    </w:p>
    <w:p w14:paraId="3D70E3E1" w14:textId="77777777" w:rsidR="00ED1C9C" w:rsidRPr="00DC7715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Profesor e Investigador Titular</w:t>
      </w:r>
    </w:p>
    <w:p w14:paraId="2EE300C9" w14:textId="77777777" w:rsidR="00ED1C9C" w:rsidRPr="00DC7715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Grupo Nacional de Psiquiatría</w:t>
      </w:r>
    </w:p>
    <w:p w14:paraId="55A1F4E3" w14:textId="77777777" w:rsidR="00ED1C9C" w:rsidRDefault="00ED1C9C" w:rsidP="00ED1C9C">
      <w:pPr>
        <w:spacing w:line="360" w:lineRule="auto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Sección de Neurociencias SCP</w:t>
      </w:r>
    </w:p>
    <w:p w14:paraId="413C8873" w14:textId="77777777" w:rsidR="00353950" w:rsidRDefault="00353950" w:rsidP="00ED1C9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Dra. María de la Concepción Galiano Ramírez</w:t>
      </w:r>
    </w:p>
    <w:p w14:paraId="4A4B7167" w14:textId="77777777" w:rsidR="00353950" w:rsidRDefault="00353950" w:rsidP="00ED1C9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Especialista de Segundo Grado Psiquiatría Infantil</w:t>
      </w:r>
    </w:p>
    <w:p w14:paraId="4B4A5D26" w14:textId="77777777" w:rsidR="00353950" w:rsidRPr="00380373" w:rsidRDefault="00353950" w:rsidP="00ED1C9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Profesora Auxiliar. </w:t>
      </w:r>
      <w:r w:rsidRPr="00380373">
        <w:rPr>
          <w:rFonts w:ascii="Arial" w:hAnsi="Arial"/>
          <w:b/>
          <w:sz w:val="24"/>
        </w:rPr>
        <w:t xml:space="preserve">Hospital Pediátrico </w:t>
      </w:r>
      <w:r w:rsidR="00036818" w:rsidRPr="00380373">
        <w:rPr>
          <w:rFonts w:ascii="Arial" w:hAnsi="Arial"/>
          <w:b/>
          <w:sz w:val="24"/>
        </w:rPr>
        <w:t xml:space="preserve">Docente </w:t>
      </w:r>
      <w:r w:rsidRPr="00380373">
        <w:rPr>
          <w:rFonts w:ascii="Arial" w:hAnsi="Arial"/>
          <w:b/>
          <w:sz w:val="24"/>
        </w:rPr>
        <w:t>de Centro Habana.</w:t>
      </w:r>
    </w:p>
    <w:p w14:paraId="7EE467BF" w14:textId="77777777" w:rsidR="00353950" w:rsidRPr="00380373" w:rsidRDefault="00353950" w:rsidP="00ED1C9C">
      <w:pPr>
        <w:spacing w:line="360" w:lineRule="auto"/>
        <w:rPr>
          <w:rFonts w:ascii="Arial" w:hAnsi="Arial"/>
          <w:b/>
          <w:sz w:val="24"/>
        </w:rPr>
      </w:pPr>
    </w:p>
    <w:p w14:paraId="1B6D0EA3" w14:textId="77777777" w:rsidR="00ED1C9C" w:rsidRDefault="00412E5C" w:rsidP="00ED1C9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Trastorno por Déficit de Atención e Hiperactividad.</w:t>
      </w:r>
    </w:p>
    <w:p w14:paraId="41D74D9E" w14:textId="77777777" w:rsidR="00412E5C" w:rsidRDefault="00412E5C" w:rsidP="00ED1C9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Concepto</w:t>
      </w:r>
    </w:p>
    <w:p w14:paraId="7BC98E65" w14:textId="77777777" w:rsidR="00412E5C" w:rsidRPr="000D411C" w:rsidRDefault="00412E5C" w:rsidP="000D411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0D411C">
        <w:rPr>
          <w:rFonts w:ascii="Arial" w:eastAsia="TimesNewRomanPSMT" w:hAnsi="Arial" w:cs="Arial"/>
          <w:sz w:val="24"/>
          <w:szCs w:val="24"/>
        </w:rPr>
        <w:t xml:space="preserve">El </w:t>
      </w:r>
      <w:r w:rsidRPr="000D411C">
        <w:rPr>
          <w:rFonts w:ascii="Arial" w:eastAsia="TimesNewRomanPS-ItalicMT" w:hAnsi="Arial" w:cs="Arial"/>
          <w:sz w:val="24"/>
          <w:szCs w:val="24"/>
        </w:rPr>
        <w:t xml:space="preserve">trastorno por déficit de atención/hiperactividad </w:t>
      </w:r>
      <w:r w:rsidRPr="000D411C">
        <w:rPr>
          <w:rFonts w:ascii="Arial" w:eastAsia="TimesNewRomanPSMT" w:hAnsi="Arial" w:cs="Arial"/>
          <w:sz w:val="24"/>
          <w:szCs w:val="24"/>
        </w:rPr>
        <w:t>(TDAH) es una enfermedad</w:t>
      </w:r>
    </w:p>
    <w:p w14:paraId="7E68BD63" w14:textId="77777777" w:rsidR="00412E5C" w:rsidRDefault="00412E5C" w:rsidP="000D411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0D411C">
        <w:rPr>
          <w:rFonts w:ascii="Arial" w:eastAsia="TimesNewRomanPSMT" w:hAnsi="Arial" w:cs="Arial"/>
          <w:sz w:val="24"/>
          <w:szCs w:val="24"/>
        </w:rPr>
        <w:t>neuropsiquiátrica que afecta a preescolares, niños, adolescentes y adultos en todo el</w:t>
      </w:r>
      <w:r w:rsidR="00036818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mundo, que se caracteriza por un patrón de falta de atención sostenida y un</w:t>
      </w:r>
      <w:r w:rsidR="00036818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comportamiento más impulsivo o hiperactividad. Existen pruebas claras en función</w:t>
      </w:r>
      <w:r w:rsidR="00036818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de la historia familiar, el genotipo y estudios de neuroimagen, que apo</w:t>
      </w:r>
      <w:r w:rsidR="000D411C">
        <w:rPr>
          <w:rFonts w:ascii="Arial" w:eastAsia="TimesNewRomanPSMT" w:hAnsi="Arial" w:cs="Arial"/>
          <w:sz w:val="24"/>
          <w:szCs w:val="24"/>
        </w:rPr>
        <w:t>y</w:t>
      </w:r>
      <w:r w:rsidRPr="000D411C">
        <w:rPr>
          <w:rFonts w:ascii="Arial" w:eastAsia="TimesNewRomanPSMT" w:hAnsi="Arial" w:cs="Arial"/>
          <w:sz w:val="24"/>
          <w:szCs w:val="24"/>
        </w:rPr>
        <w:t>an la base</w:t>
      </w:r>
      <w:r w:rsidR="00E84D6D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biológica del trastorno. Aunque diversas regiones del cerebro y varios</w:t>
      </w:r>
      <w:r w:rsidR="00E84D6D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neurotransmisores están involucrados en la aparición de los síntomas, la dopamina</w:t>
      </w:r>
      <w:r w:rsidR="00E154DD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es todavía el foco de las investigaciones acerca de los síntomas. Se ha implicado a lacorteza prefrontal del cerebro por su alta utilización de dopamina y sus interacciones</w:t>
      </w:r>
      <w:r w:rsidR="00E154DD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recíprocas con otras regiones cerebrales relacionadas con la atención, inhibición,</w:t>
      </w:r>
      <w:r w:rsidR="00E154DD">
        <w:rPr>
          <w:rFonts w:ascii="Arial" w:eastAsia="TimesNewRomanPSMT" w:hAnsi="Arial" w:cs="Arial"/>
          <w:sz w:val="24"/>
          <w:szCs w:val="24"/>
        </w:rPr>
        <w:t xml:space="preserve"> </w:t>
      </w:r>
      <w:r w:rsidRPr="000D411C">
        <w:rPr>
          <w:rFonts w:ascii="Arial" w:eastAsia="TimesNewRomanPSMT" w:hAnsi="Arial" w:cs="Arial"/>
          <w:sz w:val="24"/>
          <w:szCs w:val="24"/>
        </w:rPr>
        <w:t>toma de decisiones, inhibición de la respuesta, memoria de trabajo y vigilancia.</w:t>
      </w:r>
    </w:p>
    <w:p w14:paraId="1336732F" w14:textId="77777777" w:rsidR="000D411C" w:rsidRPr="000D411C" w:rsidRDefault="000D411C" w:rsidP="000D411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2AED7B10" w14:textId="77777777" w:rsidR="00412E5C" w:rsidRPr="000D411C" w:rsidRDefault="00412E5C" w:rsidP="000D411C">
      <w:pPr>
        <w:spacing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0D411C">
        <w:rPr>
          <w:rFonts w:ascii="Arial" w:eastAsia="TimesNewRomanPSMT" w:hAnsi="Arial" w:cs="TimesNewRomanPSMT"/>
          <w:b/>
          <w:bCs/>
          <w:sz w:val="24"/>
          <w:szCs w:val="27"/>
        </w:rPr>
        <w:t>Clasificación</w:t>
      </w:r>
    </w:p>
    <w:p w14:paraId="7396D5FF" w14:textId="77777777" w:rsidR="00412E5C" w:rsidRPr="000D411C" w:rsidRDefault="0076021C" w:rsidP="000D411C">
      <w:pPr>
        <w:spacing w:line="360" w:lineRule="auto"/>
        <w:jc w:val="both"/>
        <w:rPr>
          <w:rFonts w:ascii="Arial" w:eastAsia="TimesNewRomanPSMT" w:hAnsi="Arial" w:cs="TimesNewRomanPSMT"/>
          <w:b/>
          <w:bCs/>
          <w:sz w:val="24"/>
          <w:szCs w:val="27"/>
        </w:rPr>
      </w:pPr>
      <w:r w:rsidRPr="000D411C">
        <w:rPr>
          <w:rFonts w:ascii="Arial" w:eastAsia="TimesNewRomanPSMT" w:hAnsi="Arial" w:cs="TimesNewRomanPSMT"/>
          <w:b/>
          <w:bCs/>
          <w:sz w:val="24"/>
          <w:szCs w:val="27"/>
        </w:rPr>
        <w:t>Trastorno por Déficit de Atención e Hiperactividad</w:t>
      </w:r>
    </w:p>
    <w:p w14:paraId="7C9C98E2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lastRenderedPageBreak/>
        <w:t>A. Patrón persistente de inatención y/o hiperactividad-impulsividad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que interfiere con el funcionamiento o el desarrollo, que se caracteriza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por (1) y/o (2):</w:t>
      </w:r>
    </w:p>
    <w:p w14:paraId="1EA2230B" w14:textId="77777777" w:rsid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 xml:space="preserve">1. </w:t>
      </w:r>
      <w:r w:rsidRPr="0076021C">
        <w:rPr>
          <w:rFonts w:ascii="Arial" w:hAnsi="Arial" w:cs="Arial"/>
          <w:bCs/>
          <w:sz w:val="24"/>
          <w:szCs w:val="24"/>
        </w:rPr>
        <w:t xml:space="preserve">Inatención: </w:t>
      </w:r>
      <w:r w:rsidRPr="0076021C">
        <w:rPr>
          <w:rFonts w:ascii="Arial" w:hAnsi="Arial" w:cs="Arial"/>
          <w:sz w:val="24"/>
          <w:szCs w:val="24"/>
        </w:rPr>
        <w:t>Seis (o más) de los siguientes síntomas se han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mantenido durante al menos 6 meses en un grado que no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concuerda con el nivel de desarrollo y que afecta directamente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las actividades sociales y académicas/laborales:</w:t>
      </w:r>
    </w:p>
    <w:p w14:paraId="4D272A19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Nota: </w:t>
      </w:r>
      <w:r w:rsidRPr="0076021C">
        <w:rPr>
          <w:rFonts w:ascii="Arial" w:hAnsi="Arial" w:cs="Arial"/>
          <w:sz w:val="24"/>
          <w:szCs w:val="24"/>
        </w:rPr>
        <w:t>Los síntomas no son sólo una manifestación del comportamiento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de oposición, desafío, hostilidad o fracaso en la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comprensión de tareas o instrucciones. Para adolescentes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mayores y adultos (17 y más años de edad), se requiere un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mínimo de cinco síntomas.</w:t>
      </w:r>
    </w:p>
    <w:p w14:paraId="7286D766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a. Con frecuencia falla en prestar la debida atención a detalles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o por descuido se cometen errores en las tareas escolares,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en el trabajo o durante otras actividades (p. ej., se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pasan por alto o se pierden detalles, el trabajo no se lleva</w:t>
      </w:r>
      <w:r w:rsidR="00FD53D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 cabo con precisión).</w:t>
      </w:r>
    </w:p>
    <w:p w14:paraId="3A02477C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b. Con frecuencia tiene dificultades para mantener la atenciónen tareas o actividades recreativas (p. ej., tiene dificultad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para mantener la atención en clases,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conversaciones o la lectura prolongada).</w:t>
      </w:r>
    </w:p>
    <w:p w14:paraId="047D3B63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c. Con frecuencia parece no escuchar cuando se le habla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directamente (p. ej., parece tener la mente en otras cosas,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incluso en ausencia de cualquier distracción aparente).</w:t>
      </w:r>
    </w:p>
    <w:p w14:paraId="535C088D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d. Con frecuencia no sigue las instrucciones y no termina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las tareas escolares, los quehaceres o los deberes laborales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(p. ej., inicia tareas, pero se distrae rápidamente y</w:t>
      </w:r>
      <w:r w:rsidR="009D7BC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se evade con facilidad).</w:t>
      </w:r>
    </w:p>
    <w:p w14:paraId="0CC0DCEC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e. Con frecuencia tiene dificultad para organizar tareas y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actividades (p. ej., dificultad para gestionar tareas secuenciales;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dificultad para poner los materiales y pertenencias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en orden; descuido y desorganización en el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trabajo; mala gestión del tiempo; no cumple los plazos).</w:t>
      </w:r>
    </w:p>
    <w:p w14:paraId="5DE7F916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f. Con frecuencia evita, le disgusta o se muestra poco entusiasta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en iniciar tareas que requieren un esfuerzo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mental sostenido (p. ej., tareas escolares o quehaceres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domésticos; en adolescentes mayores y adultos, preparación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de informes, completar formularios, revisar artículos</w:t>
      </w:r>
      <w:r w:rsidR="0074062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largos).</w:t>
      </w:r>
    </w:p>
    <w:p w14:paraId="274BB967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lastRenderedPageBreak/>
        <w:t>g. Con frecuencia pierde cosas necesarias para tareas o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actividades (p. ej., materiales escolares, lápices, libros,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instrumentos, billetero, llaves, papeles del trabajo, gafas,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móvil).</w:t>
      </w:r>
    </w:p>
    <w:p w14:paraId="1F147A4A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h. Con frecuencia se distrae con facilidad por estímulos externos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(para adolescentes mayores y adultos, puede incluir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pensamientos no relacionados).</w:t>
      </w:r>
    </w:p>
    <w:p w14:paraId="6FA42280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i. Con frecuencia olvida las actividades cotidianas (p. ej.,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hacer las tareas, hacer las diligencias; en adolescentes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mayores y adultos, devolver las llamadas, pagar las facturas,</w:t>
      </w:r>
      <w:r w:rsidR="007A4C82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acudir a las citas).</w:t>
      </w:r>
    </w:p>
    <w:p w14:paraId="06CC7C7E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 xml:space="preserve">2. </w:t>
      </w:r>
      <w:r w:rsidRPr="0076021C">
        <w:rPr>
          <w:rFonts w:ascii="Arial" w:hAnsi="Arial" w:cs="Arial"/>
          <w:bCs/>
          <w:sz w:val="24"/>
          <w:szCs w:val="24"/>
        </w:rPr>
        <w:t xml:space="preserve">Hiperactividad e impulsividad: </w:t>
      </w:r>
      <w:r w:rsidRPr="0076021C">
        <w:rPr>
          <w:rFonts w:ascii="Arial" w:hAnsi="Arial" w:cs="Arial"/>
          <w:sz w:val="24"/>
          <w:szCs w:val="24"/>
        </w:rPr>
        <w:t>Seis (o más) de los siguientes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síntomas se han mantenido durante al menos 6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meses en un grado que no concuerda con el nivel de desarrollo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y que afecta directamente a las actividades sociales y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académicas/laborales:</w:t>
      </w:r>
    </w:p>
    <w:p w14:paraId="6DD0A824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Nota: </w:t>
      </w:r>
      <w:r w:rsidRPr="0076021C">
        <w:rPr>
          <w:rFonts w:ascii="Arial" w:hAnsi="Arial" w:cs="Arial"/>
          <w:sz w:val="24"/>
          <w:szCs w:val="24"/>
        </w:rPr>
        <w:t>Los síntomas no son sólo una manifestación del comportamiento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de oposición, desafío, hostilidad o fracaso para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comprender tareas o instrucciones. Para adolescentes mayores y adultos (a partir de 17 años de edad), se requiere un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mínimo de cinco síntomas.</w:t>
      </w:r>
    </w:p>
    <w:p w14:paraId="78CF5A05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a. Con frecuencia juguetea con o golpea las manos o los</w:t>
      </w:r>
      <w:r w:rsidR="002E315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pies o se retuerce en el asiento.</w:t>
      </w:r>
    </w:p>
    <w:p w14:paraId="45BD7637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b. Con frecuencia se levanta en situaciones en que se espera</w:t>
      </w:r>
      <w:r w:rsidR="002C2DB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que permanezca sentado (p. ej., se levanta en la</w:t>
      </w:r>
      <w:r w:rsidR="002C2DB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clase, en la oficina o en otro lugar de trabajo, o en otras</w:t>
      </w:r>
      <w:r w:rsidR="002C2DB6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situaciones que requieren mantenerse en su lugar).</w:t>
      </w:r>
    </w:p>
    <w:p w14:paraId="106CF453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c. Con frecuencia corretea o trepa en situaciones en las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que no resulta apropiado. (</w:t>
      </w:r>
      <w:r w:rsidRPr="0076021C">
        <w:rPr>
          <w:rFonts w:ascii="Arial" w:hAnsi="Arial" w:cs="Arial"/>
          <w:bCs/>
          <w:sz w:val="24"/>
          <w:szCs w:val="24"/>
        </w:rPr>
        <w:t xml:space="preserve">Nota: </w:t>
      </w:r>
      <w:r w:rsidRPr="0076021C">
        <w:rPr>
          <w:rFonts w:ascii="Arial" w:hAnsi="Arial" w:cs="Arial"/>
          <w:sz w:val="24"/>
          <w:szCs w:val="24"/>
        </w:rPr>
        <w:t>En adolescentes o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adultos, puede limitarse a estar inquieto.)</w:t>
      </w:r>
    </w:p>
    <w:p w14:paraId="3EE5CD8C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d. Con frecuencia es incapaz de jugar o de ocuparse tranquilamente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en actividades recreativas.</w:t>
      </w:r>
    </w:p>
    <w:p w14:paraId="110B52F2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e. Con frecuencia está “ocupado,” actuando como si “lo impulsara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un motor” (p. ej., es incapaz de estar o se siente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incómodo estando quieto durante un tiempo prolongado,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como en restaurantes, reuniones; los otros pueden pensar</w:t>
      </w:r>
      <w:r w:rsidR="00DE5B7E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que está intranquilo o que le resulta difícil seguirlos).</w:t>
      </w:r>
    </w:p>
    <w:p w14:paraId="7A79D4A5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f. Con frecuencia habla excesivamente.</w:t>
      </w:r>
    </w:p>
    <w:p w14:paraId="2EDFA9C4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g. Con frecuencia responde inesperadamente o antes de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que se haya concluido una pregunta (p. ej., termina las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frases de otros; no respeta el turno de conversación).</w:t>
      </w:r>
    </w:p>
    <w:p w14:paraId="5580865D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lastRenderedPageBreak/>
        <w:t>h. Con frecuencia le es difícil esperar su turno (p. ej., mientras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espera en una cola).</w:t>
      </w:r>
    </w:p>
    <w:p w14:paraId="3EAF8689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i. Con frecuencia interrumpe o se inmiscuye con otros (p.ej., se mete en las conversaciones, juegos o actividades;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puede empezar a utilizar las cosas de otras personas sin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esperar o recibir permiso; en adolescentes y adultos,</w:t>
      </w:r>
      <w:r w:rsidR="00C116F1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puede inmiscuirse o adelantarse a lo que hacen otros).</w:t>
      </w:r>
    </w:p>
    <w:p w14:paraId="6EC90D0F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B. Algunos síntomas de inatención o hiperactivo-impulsivos estaban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presentes antes de los 12 años.</w:t>
      </w:r>
    </w:p>
    <w:p w14:paraId="3206E9BE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C. Varios síntomas de inatención o hiperactivo-impulsivos están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presentes en dos o más contextos (p. ej., en casa, en la escuela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o en el trabajo; con los amigos o parientes; en otras actividades).</w:t>
      </w:r>
    </w:p>
    <w:p w14:paraId="4E41EA13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D. Existen pruebas claras de que los síntomas interfieren con el funcionamiento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social, académico o laboral, o reducen la calidad de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los mismos.</w:t>
      </w:r>
    </w:p>
    <w:p w14:paraId="51BDC2C1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sz w:val="24"/>
          <w:szCs w:val="24"/>
        </w:rPr>
        <w:t>E. Los síntomas no se producen exclusivamente durante el curso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de la esquizofrenia o de otro trastorno psicótico y no se explican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mejor por otro trastorno mental (p. ej., trastorno del estado de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ánimo, trastorno de ansiedad, trastorno disociativo, trastorno de</w:t>
      </w:r>
      <w:r w:rsidR="004F7F08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la personalidad, intoxicación o abstinencia de sustancias).</w:t>
      </w:r>
    </w:p>
    <w:p w14:paraId="77E53682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iCs/>
          <w:sz w:val="24"/>
          <w:szCs w:val="24"/>
        </w:rPr>
        <w:t xml:space="preserve">Especificar </w:t>
      </w:r>
      <w:r w:rsidRPr="0076021C">
        <w:rPr>
          <w:rFonts w:ascii="Arial" w:hAnsi="Arial" w:cs="Arial"/>
          <w:sz w:val="24"/>
          <w:szCs w:val="24"/>
        </w:rPr>
        <w:t>si:</w:t>
      </w:r>
    </w:p>
    <w:p w14:paraId="2F69159C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314.01 (F90.2) Presentación combinada: </w:t>
      </w:r>
      <w:r w:rsidRPr="0076021C">
        <w:rPr>
          <w:rFonts w:ascii="Arial" w:hAnsi="Arial" w:cs="Arial"/>
          <w:sz w:val="24"/>
          <w:szCs w:val="24"/>
        </w:rPr>
        <w:t>Si se cumplen el Criterio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A1 (inatención) y el Criterio A2 (hiperactividad-impulsividad)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durante los últimos 6 meses.</w:t>
      </w:r>
    </w:p>
    <w:p w14:paraId="6D6EC93A" w14:textId="77777777" w:rsidR="0076021C" w:rsidRPr="000D41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>314.00 (F90.0) Presentación predominante con falta de atención:</w:t>
      </w:r>
      <w:r w:rsidR="009D327F">
        <w:rPr>
          <w:rFonts w:ascii="Arial" w:hAnsi="Arial" w:cs="Arial"/>
          <w:bCs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Si se cumple el Criterio A1 (inatención) pero no se cumple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el Criterio A2 (hiperactividad-impulsividad) durante los últimos 6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meses.</w:t>
      </w:r>
    </w:p>
    <w:p w14:paraId="4E2AA1D1" w14:textId="77777777" w:rsidR="0076021C" w:rsidRPr="000D41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>314.01 (F90.1) Presentación predominante hiperactiva/impulsiva:</w:t>
      </w:r>
      <w:r w:rsidR="009D327F">
        <w:rPr>
          <w:rFonts w:ascii="Arial" w:hAnsi="Arial" w:cs="Arial"/>
          <w:bCs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Si se cumple el Criterio A2 (hiperactividad-impulsividad)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y no se cumple el Criterio A1 (inatención) durante los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últimos 6 meses.</w:t>
      </w:r>
    </w:p>
    <w:p w14:paraId="548EB08E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iCs/>
          <w:sz w:val="24"/>
          <w:szCs w:val="24"/>
        </w:rPr>
        <w:t xml:space="preserve">Especificar </w:t>
      </w:r>
      <w:r w:rsidRPr="0076021C">
        <w:rPr>
          <w:rFonts w:ascii="Arial" w:hAnsi="Arial" w:cs="Arial"/>
          <w:sz w:val="24"/>
          <w:szCs w:val="24"/>
        </w:rPr>
        <w:t>si:</w:t>
      </w:r>
    </w:p>
    <w:p w14:paraId="01182B6E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En remisión parcial: </w:t>
      </w:r>
      <w:r w:rsidRPr="0076021C">
        <w:rPr>
          <w:rFonts w:ascii="Arial" w:hAnsi="Arial" w:cs="Arial"/>
          <w:sz w:val="24"/>
          <w:szCs w:val="24"/>
        </w:rPr>
        <w:t>Cuando previamente se cumplían todos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los criterios, no todos los criterios se han cumplido durante los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últimos 6 meses, y los síntomas siguen deteriorando el funcionamiento</w:t>
      </w:r>
      <w:r w:rsidR="009D327F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social, académico o laboral.</w:t>
      </w:r>
    </w:p>
    <w:p w14:paraId="1746C765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iCs/>
          <w:sz w:val="24"/>
          <w:szCs w:val="24"/>
        </w:rPr>
        <w:t xml:space="preserve">Especificar </w:t>
      </w:r>
      <w:r w:rsidRPr="0076021C">
        <w:rPr>
          <w:rFonts w:ascii="Arial" w:hAnsi="Arial" w:cs="Arial"/>
          <w:sz w:val="24"/>
          <w:szCs w:val="24"/>
        </w:rPr>
        <w:t>la gravedad actual:</w:t>
      </w:r>
    </w:p>
    <w:p w14:paraId="115C3C85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lastRenderedPageBreak/>
        <w:t xml:space="preserve">Leve: </w:t>
      </w:r>
      <w:r w:rsidRPr="0076021C">
        <w:rPr>
          <w:rFonts w:ascii="Arial" w:hAnsi="Arial" w:cs="Arial"/>
          <w:sz w:val="24"/>
          <w:szCs w:val="24"/>
        </w:rPr>
        <w:t>Pocos o ningún síntoma están presentes más que los necesarios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para el diagnóstico, y los síntomas sólo producen deterioro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mínimo del funcionamiento social o laboral.</w:t>
      </w:r>
    </w:p>
    <w:p w14:paraId="1A8A7C98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Moderado: </w:t>
      </w:r>
      <w:r w:rsidRPr="0076021C">
        <w:rPr>
          <w:rFonts w:ascii="Arial" w:hAnsi="Arial" w:cs="Arial"/>
          <w:sz w:val="24"/>
          <w:szCs w:val="24"/>
        </w:rPr>
        <w:t>Síntomas o deterioros funcionales presentes entre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“leve” y “grave”.</w:t>
      </w:r>
    </w:p>
    <w:p w14:paraId="4DDA8CE0" w14:textId="77777777" w:rsidR="0076021C" w:rsidRPr="0076021C" w:rsidRDefault="0076021C" w:rsidP="007602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021C">
        <w:rPr>
          <w:rFonts w:ascii="Arial" w:hAnsi="Arial" w:cs="Arial"/>
          <w:bCs/>
          <w:sz w:val="24"/>
          <w:szCs w:val="24"/>
        </w:rPr>
        <w:t xml:space="preserve">Grave: </w:t>
      </w:r>
      <w:r w:rsidRPr="0076021C">
        <w:rPr>
          <w:rFonts w:ascii="Arial" w:hAnsi="Arial" w:cs="Arial"/>
          <w:sz w:val="24"/>
          <w:szCs w:val="24"/>
        </w:rPr>
        <w:t>Presencia de muchos síntomas aparte de los necesarios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para el diagnóstico o de varios síntomas particularmente graves,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o los síntomas producen deterioro notable del funcionamiento</w:t>
      </w:r>
      <w:r w:rsidR="00C0323A">
        <w:rPr>
          <w:rFonts w:ascii="Arial" w:hAnsi="Arial" w:cs="Arial"/>
          <w:sz w:val="24"/>
          <w:szCs w:val="24"/>
        </w:rPr>
        <w:t xml:space="preserve"> </w:t>
      </w:r>
      <w:r w:rsidRPr="0076021C">
        <w:rPr>
          <w:rFonts w:ascii="Arial" w:hAnsi="Arial" w:cs="Arial"/>
          <w:sz w:val="24"/>
          <w:szCs w:val="24"/>
        </w:rPr>
        <w:t>social o laboral.</w:t>
      </w:r>
    </w:p>
    <w:p w14:paraId="545B51AA" w14:textId="77777777" w:rsidR="0076021C" w:rsidRPr="00412E5C" w:rsidRDefault="0076021C" w:rsidP="00412E5C">
      <w:pPr>
        <w:spacing w:line="360" w:lineRule="auto"/>
        <w:rPr>
          <w:rFonts w:ascii="TimesNewRomanPSMT" w:eastAsia="TimesNewRomanPSMT" w:cs="TimesNewRomanPSMT"/>
          <w:sz w:val="27"/>
          <w:szCs w:val="27"/>
        </w:rPr>
      </w:pPr>
    </w:p>
    <w:p w14:paraId="4E58D8A6" w14:textId="77777777" w:rsidR="00ED1C9C" w:rsidRDefault="00ED1C9C" w:rsidP="00ED1C9C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/>
          <w:b/>
          <w:color w:val="000000" w:themeColor="text1"/>
          <w:kern w:val="24"/>
          <w:sz w:val="24"/>
          <w:lang w:val="es-ES_tradnl"/>
        </w:rPr>
      </w:pPr>
      <w:r w:rsidRPr="00DC7715">
        <w:rPr>
          <w:rFonts w:ascii="Arial" w:eastAsiaTheme="minorEastAsia" w:hAnsi="Arial"/>
          <w:b/>
          <w:color w:val="000000" w:themeColor="text1"/>
          <w:kern w:val="24"/>
          <w:sz w:val="24"/>
          <w:lang w:val="es-ES_tradnl"/>
        </w:rPr>
        <w:t>Contexto del COVID-19</w:t>
      </w:r>
    </w:p>
    <w:p w14:paraId="417C35BE" w14:textId="77777777" w:rsidR="00353950" w:rsidRPr="00372D72" w:rsidRDefault="00353950" w:rsidP="006157A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</w:pPr>
      <w:r w:rsidRPr="00353950">
        <w:rPr>
          <w:rFonts w:ascii="Arial" w:eastAsiaTheme="minorEastAsia" w:hAnsi="Arial"/>
          <w:bCs/>
          <w:color w:val="000000" w:themeColor="text1"/>
          <w:kern w:val="24"/>
          <w:sz w:val="24"/>
          <w:lang w:val="es-ES_tradnl"/>
        </w:rPr>
        <w:t xml:space="preserve">La actual </w:t>
      </w:r>
      <w:r>
        <w:rPr>
          <w:rFonts w:ascii="Arial" w:eastAsiaTheme="minorEastAsia" w:hAnsi="Arial"/>
          <w:bCs/>
          <w:color w:val="000000" w:themeColor="text1"/>
          <w:kern w:val="24"/>
          <w:sz w:val="24"/>
          <w:lang w:val="es-ES_tradnl"/>
        </w:rPr>
        <w:t>crisis del Covid-19 está creando desafíos sin precedentes a cualquier nivel de la sociedad. El cierre de las escuelas y las restricciones de contacto físico directo significa para muchas familias enfrentar un nuevo modo de convivir. Niños y adolescentes aburridos y distraídos son más proclives a producir problemas en la familia. Padres frustrados pueden sobre reaccionar a estos desafíos. Todo esto se agrava cuando un miembro es portador de un TDAH.</w:t>
      </w:r>
      <w:r w:rsidR="00372D72">
        <w:rPr>
          <w:rFonts w:ascii="Arial" w:eastAsiaTheme="minorEastAsia" w:hAnsi="Arial"/>
          <w:bCs/>
          <w:color w:val="000000" w:themeColor="text1"/>
          <w:kern w:val="24"/>
          <w:sz w:val="24"/>
          <w:lang w:val="es-ES_tradnl"/>
        </w:rPr>
        <w:t xml:space="preserve"> </w:t>
      </w:r>
      <w:r w:rsidRPr="006157A1">
        <w:rPr>
          <w:rFonts w:ascii="Arial" w:eastAsiaTheme="minorEastAsia" w:hAnsi="Arial"/>
          <w:bCs/>
          <w:color w:val="000000" w:themeColor="text1"/>
          <w:kern w:val="24"/>
          <w:lang w:val="es-ES_tradnl"/>
        </w:rPr>
        <w:t xml:space="preserve">El TDAH </w:t>
      </w:r>
      <w:r w:rsidRPr="00372D72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>tiene una prevalencia estimada en el mundo de alrededor de un 5%, por lo cual es una de las condiciones más diagnosticadas en los servicios de psiquiatría infantil y de la adolescencia.</w:t>
      </w:r>
      <w:r w:rsidR="0063525B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 xml:space="preserve"> </w:t>
      </w:r>
      <w:r w:rsidR="006157A1" w:rsidRPr="00372D72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>Estos síntomas tienden a mantenerse en la adultez en el 65% de los casos.</w:t>
      </w:r>
    </w:p>
    <w:p w14:paraId="552680E8" w14:textId="77777777" w:rsidR="006157A1" w:rsidRPr="0063525B" w:rsidRDefault="006157A1" w:rsidP="006157A1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</w:pPr>
      <w:r w:rsidRPr="0063525B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>En este material les presentamos un resumen traducido de Las Guías de evaluación y manejo del TDAH durante la pandemia de COVID-19. Esta guía ha sido desarrollada por El Grupo de Guías Europeas de TDAH, un grupo de trabajo de la Red Europea para Trastornos Hiperquinéticos (EUNETHYDIS)</w:t>
      </w:r>
      <w:r w:rsidR="0063525B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>.</w:t>
      </w:r>
      <w:r w:rsidRPr="0063525B">
        <w:rPr>
          <w:rFonts w:ascii="Arial" w:eastAsiaTheme="minorEastAsia" w:hAnsi="Arial"/>
          <w:bCs/>
          <w:color w:val="000000" w:themeColor="text1"/>
          <w:kern w:val="24"/>
          <w:sz w:val="24"/>
          <w:szCs w:val="24"/>
          <w:lang w:val="es-ES_tradnl"/>
        </w:rPr>
        <w:t xml:space="preserve"> </w:t>
      </w:r>
    </w:p>
    <w:p w14:paraId="412C17AD" w14:textId="77777777" w:rsidR="006157A1" w:rsidRPr="00353950" w:rsidRDefault="006157A1" w:rsidP="006157A1">
      <w:pPr>
        <w:pStyle w:val="Prrafodelista"/>
        <w:kinsoku w:val="0"/>
        <w:overflowPunct w:val="0"/>
        <w:spacing w:line="360" w:lineRule="auto"/>
        <w:ind w:left="780"/>
        <w:jc w:val="both"/>
        <w:textAlignment w:val="baseline"/>
        <w:rPr>
          <w:rFonts w:ascii="Arial" w:eastAsiaTheme="minorEastAsia" w:hAnsi="Arial"/>
          <w:bCs/>
          <w:color w:val="000000" w:themeColor="text1"/>
          <w:kern w:val="24"/>
          <w:lang w:val="es-ES_tradnl"/>
        </w:rPr>
      </w:pPr>
    </w:p>
    <w:p w14:paraId="5395280E" w14:textId="77777777" w:rsidR="00ED1C9C" w:rsidRDefault="00ED1C9C" w:rsidP="00ED1C9C">
      <w:p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/>
          <w:sz w:val="24"/>
        </w:rPr>
      </w:pPr>
      <w:r w:rsidRPr="00DC7715">
        <w:rPr>
          <w:rFonts w:ascii="Arial" w:hAnsi="Arial"/>
          <w:b/>
          <w:sz w:val="24"/>
        </w:rPr>
        <w:t>Estrategias de Enfrentamiento:</w:t>
      </w:r>
    </w:p>
    <w:p w14:paraId="1C2E839F" w14:textId="77777777" w:rsidR="006157A1" w:rsidRDefault="0081524A" w:rsidP="006157A1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 w:rsidRPr="0081524A">
        <w:rPr>
          <w:rFonts w:ascii="Arial" w:hAnsi="Arial"/>
          <w:bCs/>
        </w:rPr>
        <w:t>Diagnóstico y Seguimiento</w:t>
      </w:r>
    </w:p>
    <w:p w14:paraId="3F7C18C5" w14:textId="77777777" w:rsidR="0081524A" w:rsidRDefault="0081524A" w:rsidP="0081524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>
        <w:rPr>
          <w:rFonts w:ascii="Arial" w:hAnsi="Arial"/>
          <w:bCs/>
        </w:rPr>
        <w:t>Considerar que dadas las condiciones de distanciamiento social debemos tener en cuenta otros medios como el teléfono y/o la tele psiquiatría.</w:t>
      </w:r>
    </w:p>
    <w:p w14:paraId="16CF0547" w14:textId="77777777" w:rsidR="0081524A" w:rsidRDefault="0081524A" w:rsidP="0081524A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>
        <w:rPr>
          <w:rFonts w:ascii="Arial" w:hAnsi="Arial"/>
          <w:bCs/>
        </w:rPr>
        <w:t>La importancia del manejo conductual.</w:t>
      </w:r>
    </w:p>
    <w:p w14:paraId="1F0A21C1" w14:textId="77777777" w:rsidR="0081524A" w:rsidRDefault="0081524A" w:rsidP="0081524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Se recomienda el uso de estrategias de entrenamiento conductual a los padres como un aspecto central del tratamiento, son beneficiosas tanto para los padres como para los pacientes.</w:t>
      </w:r>
    </w:p>
    <w:p w14:paraId="62BD9BFD" w14:textId="77777777" w:rsidR="0081524A" w:rsidRDefault="0081524A" w:rsidP="0081524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</w:p>
    <w:p w14:paraId="1F161F90" w14:textId="77777777" w:rsidR="0081524A" w:rsidRPr="007E1D22" w:rsidRDefault="0081524A" w:rsidP="007E1D2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 w:rsidRPr="007E1D22">
        <w:rPr>
          <w:rFonts w:ascii="Arial" w:hAnsi="Arial"/>
          <w:bCs/>
        </w:rPr>
        <w:t xml:space="preserve">Sugerencias para padres en confinamiento durante la crisis COVID-19 </w:t>
      </w:r>
    </w:p>
    <w:p w14:paraId="2EC5AB4F" w14:textId="77777777" w:rsidR="0081524A" w:rsidRDefault="0081524A" w:rsidP="0081524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81524A" w14:paraId="587B2C06" w14:textId="77777777" w:rsidTr="0081524A">
        <w:tc>
          <w:tcPr>
            <w:tcW w:w="8494" w:type="dxa"/>
          </w:tcPr>
          <w:p w14:paraId="7049C0ED" w14:textId="77777777" w:rsidR="0081524A" w:rsidRDefault="0081524A" w:rsidP="0081524A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Mantenerse positivo y motivado</w:t>
            </w:r>
          </w:p>
        </w:tc>
      </w:tr>
      <w:tr w:rsidR="0081524A" w14:paraId="3561E1A1" w14:textId="77777777" w:rsidTr="0081524A">
        <w:tc>
          <w:tcPr>
            <w:tcW w:w="8494" w:type="dxa"/>
          </w:tcPr>
          <w:p w14:paraId="0854B9A0" w14:textId="77777777" w:rsidR="0081524A" w:rsidRDefault="0081524A" w:rsidP="0081524A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Asegúrese de que todos los miembros de la familia </w:t>
            </w:r>
            <w:r w:rsidR="007E1D22">
              <w:rPr>
                <w:rFonts w:ascii="Arial" w:hAnsi="Arial"/>
                <w:bCs/>
              </w:rPr>
              <w:t>conocen que se espera de ellos</w:t>
            </w:r>
          </w:p>
        </w:tc>
      </w:tr>
      <w:tr w:rsidR="0081524A" w14:paraId="7D4DC935" w14:textId="77777777" w:rsidTr="0081524A">
        <w:tc>
          <w:tcPr>
            <w:tcW w:w="8494" w:type="dxa"/>
          </w:tcPr>
          <w:p w14:paraId="0719A14D" w14:textId="77777777" w:rsidR="0081524A" w:rsidRDefault="007E1D22" w:rsidP="0081524A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Construya la autoconfianza de su niño y confíe en usted</w:t>
            </w:r>
          </w:p>
        </w:tc>
      </w:tr>
      <w:tr w:rsidR="0081524A" w14:paraId="517F54B4" w14:textId="77777777" w:rsidTr="0081524A">
        <w:tc>
          <w:tcPr>
            <w:tcW w:w="8494" w:type="dxa"/>
          </w:tcPr>
          <w:p w14:paraId="2C2CE5F9" w14:textId="27988D47" w:rsidR="0081524A" w:rsidRDefault="007E1D22" w:rsidP="00FC6A52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Ayude a su hijo a seguir instrucciones</w:t>
            </w:r>
            <w:r w:rsidR="00FC6A52">
              <w:rPr>
                <w:rFonts w:ascii="Arial" w:hAnsi="Arial"/>
                <w:bCs/>
              </w:rPr>
              <w:t xml:space="preserve"> </w:t>
            </w:r>
            <w:r w:rsidR="00FC6A52" w:rsidRPr="00D43FC6">
              <w:rPr>
                <w:rFonts w:ascii="Arial" w:hAnsi="Arial"/>
                <w:bCs/>
              </w:rPr>
              <w:t xml:space="preserve">de forma </w:t>
            </w:r>
            <w:r w:rsidR="00FC6A52" w:rsidRPr="00D43FC6">
              <w:rPr>
                <w:rFonts w:ascii="Arial" w:hAnsi="Arial" w:cs="Arial"/>
              </w:rPr>
              <w:t>clara y precisa</w:t>
            </w:r>
            <w:r w:rsidR="00D43FC6" w:rsidRPr="00D43FC6">
              <w:rPr>
                <w:rFonts w:ascii="Arial" w:hAnsi="Arial" w:cs="Arial"/>
              </w:rPr>
              <w:t>.</w:t>
            </w:r>
          </w:p>
        </w:tc>
      </w:tr>
      <w:tr w:rsidR="0081524A" w14:paraId="0AB9F12C" w14:textId="77777777" w:rsidTr="0081524A">
        <w:tc>
          <w:tcPr>
            <w:tcW w:w="8494" w:type="dxa"/>
          </w:tcPr>
          <w:p w14:paraId="1CE14FAA" w14:textId="77777777" w:rsidR="0081524A" w:rsidRDefault="007E1D22" w:rsidP="0081524A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Promueva mejores conductas</w:t>
            </w:r>
          </w:p>
        </w:tc>
      </w:tr>
      <w:tr w:rsidR="0081524A" w14:paraId="4F3F6346" w14:textId="77777777" w:rsidTr="0081524A">
        <w:tc>
          <w:tcPr>
            <w:tcW w:w="8494" w:type="dxa"/>
          </w:tcPr>
          <w:p w14:paraId="1A65D23E" w14:textId="77777777" w:rsidR="0081524A" w:rsidRDefault="007E1D22" w:rsidP="0081524A">
            <w:pPr>
              <w:pStyle w:val="Prrafodelista"/>
              <w:kinsoku w:val="0"/>
              <w:overflowPunct w:val="0"/>
              <w:spacing w:line="360" w:lineRule="auto"/>
              <w:ind w:left="0"/>
              <w:jc w:val="both"/>
              <w:textAlignment w:val="base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Limite los conflictos</w:t>
            </w:r>
          </w:p>
        </w:tc>
      </w:tr>
      <w:tr w:rsidR="00D43FC6" w14:paraId="448B8912" w14:textId="77777777" w:rsidTr="0081524A">
        <w:tc>
          <w:tcPr>
            <w:tcW w:w="8494" w:type="dxa"/>
          </w:tcPr>
          <w:p w14:paraId="641CEBB6" w14:textId="436F9C9B" w:rsidR="00D43FC6" w:rsidRPr="00D43FC6" w:rsidRDefault="00D43FC6" w:rsidP="00D43F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FC6"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rogramar</w:t>
            </w:r>
            <w:r w:rsidRPr="00D43FC6">
              <w:rPr>
                <w:rFonts w:ascii="Arial" w:hAnsi="Arial" w:cs="Arial"/>
                <w:sz w:val="24"/>
                <w:szCs w:val="24"/>
              </w:rPr>
              <w:t xml:space="preserve"> actividades para que se mantenga entretenido la mayor parte del tiempo.</w:t>
            </w:r>
          </w:p>
        </w:tc>
        <w:bookmarkStart w:id="0" w:name="_GoBack"/>
        <w:bookmarkEnd w:id="0"/>
      </w:tr>
      <w:tr w:rsidR="00D43FC6" w14:paraId="054369C3" w14:textId="77777777" w:rsidTr="0081524A">
        <w:tc>
          <w:tcPr>
            <w:tcW w:w="8494" w:type="dxa"/>
          </w:tcPr>
          <w:p w14:paraId="4D02F37A" w14:textId="45B6A123" w:rsidR="00D43FC6" w:rsidRPr="00D43FC6" w:rsidRDefault="00D43FC6" w:rsidP="00D43FC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43FC6">
              <w:rPr>
                <w:rFonts w:ascii="Arial" w:hAnsi="Arial" w:cs="Arial"/>
                <w:sz w:val="24"/>
                <w:szCs w:val="24"/>
              </w:rPr>
              <w:t>Enseñarlo a enfrentar a las frustraciones, las de él y las de la familia, unidos.</w:t>
            </w:r>
          </w:p>
        </w:tc>
      </w:tr>
      <w:tr w:rsidR="00D43FC6" w14:paraId="69DA697F" w14:textId="77777777" w:rsidTr="0081524A">
        <w:tc>
          <w:tcPr>
            <w:tcW w:w="8494" w:type="dxa"/>
          </w:tcPr>
          <w:p w14:paraId="6752AD97" w14:textId="0A509927" w:rsidR="00D43FC6" w:rsidRPr="00D43FC6" w:rsidRDefault="00D43FC6" w:rsidP="00D43FC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43FC6">
              <w:rPr>
                <w:rFonts w:ascii="Arial" w:hAnsi="Arial" w:cs="Arial"/>
                <w:sz w:val="24"/>
                <w:szCs w:val="24"/>
                <w:lang w:val="es-MX"/>
              </w:rPr>
              <w:t xml:space="preserve">Reforzar </w:t>
            </w:r>
            <w:r w:rsidRPr="00D43FC6">
              <w:rPr>
                <w:rFonts w:ascii="Arial" w:hAnsi="Arial" w:cs="Arial"/>
                <w:bCs/>
                <w:sz w:val="24"/>
                <w:szCs w:val="24"/>
              </w:rPr>
              <w:t>positivamente cada vez que sea posible, recompensándolo por los logros.</w:t>
            </w:r>
          </w:p>
        </w:tc>
      </w:tr>
      <w:tr w:rsidR="00D43FC6" w14:paraId="0C491916" w14:textId="77777777" w:rsidTr="0081524A">
        <w:tc>
          <w:tcPr>
            <w:tcW w:w="8494" w:type="dxa"/>
          </w:tcPr>
          <w:p w14:paraId="67E30BD0" w14:textId="5110340D" w:rsidR="00D43FC6" w:rsidRPr="00D43FC6" w:rsidRDefault="00D43FC6" w:rsidP="00D43FC6">
            <w:pPr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43FC6">
              <w:rPr>
                <w:rFonts w:ascii="Arial" w:hAnsi="Arial" w:cs="Arial"/>
                <w:sz w:val="24"/>
                <w:szCs w:val="24"/>
                <w:lang w:val="es-MX"/>
              </w:rPr>
              <w:t>Estimular el mejoramiento de las relaciones de los miembros de la familia.</w:t>
            </w:r>
          </w:p>
        </w:tc>
      </w:tr>
    </w:tbl>
    <w:p w14:paraId="4DD04A99" w14:textId="77777777" w:rsidR="0081524A" w:rsidRDefault="0081524A" w:rsidP="0081524A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</w:p>
    <w:p w14:paraId="4ACAA513" w14:textId="39D5E8E9" w:rsidR="00380373" w:rsidRDefault="00380373" w:rsidP="008D59B0">
      <w:pPr>
        <w:ind w:left="708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5B2BAD68" w14:textId="77777777" w:rsidR="00380373" w:rsidRDefault="00380373" w:rsidP="008D59B0">
      <w:pPr>
        <w:ind w:left="708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55ADCAD5" w14:textId="77777777" w:rsidR="00FC6A52" w:rsidRPr="00FC6A52" w:rsidRDefault="00FC6A52" w:rsidP="00FC6A52">
      <w:pPr>
        <w:pStyle w:val="Prrafodelista"/>
        <w:kinsoku w:val="0"/>
        <w:overflowPunct w:val="0"/>
        <w:spacing w:line="360" w:lineRule="auto"/>
        <w:ind w:left="1068"/>
        <w:jc w:val="both"/>
        <w:textAlignment w:val="baseline"/>
        <w:rPr>
          <w:rFonts w:ascii="Arial" w:hAnsi="Arial"/>
          <w:bCs/>
          <w:lang w:val="es-MX"/>
        </w:rPr>
      </w:pPr>
    </w:p>
    <w:p w14:paraId="074B39BB" w14:textId="77777777" w:rsidR="0081524A" w:rsidRDefault="007E1D22" w:rsidP="007E1D2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>
        <w:rPr>
          <w:rFonts w:ascii="Arial" w:hAnsi="Arial"/>
          <w:bCs/>
        </w:rPr>
        <w:t>Con relación a los adolescentes, para todos, pero especialmente para los que tienen TDAH, la pérdida de la estructura de la escuela y las tareas, entretenimientos y amigos, el stress y ansiedad relacionados con COVID-19 y tener que estar juntos con padres y hermanos, puede ser muy difícil de enfrentar.</w:t>
      </w:r>
    </w:p>
    <w:p w14:paraId="0636D31B" w14:textId="77777777" w:rsidR="00D43FC6" w:rsidRDefault="007E1D22" w:rsidP="00D43FC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>
        <w:rPr>
          <w:rFonts w:ascii="Arial" w:hAnsi="Arial"/>
          <w:bCs/>
        </w:rPr>
        <w:t>Esto puede causar disrupciones en el ritmo día-noche y por consiguiente problemas con el sueño, esto puede traer problemas de ansiedad y depresión y más conflictos familiares.</w:t>
      </w:r>
    </w:p>
    <w:p w14:paraId="531221C7" w14:textId="05E390CE" w:rsidR="007E1D22" w:rsidRPr="00D43FC6" w:rsidRDefault="00A34665" w:rsidP="00D43FC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  <w:r w:rsidRPr="00D43FC6">
        <w:rPr>
          <w:rFonts w:ascii="Arial" w:hAnsi="Arial"/>
          <w:bCs/>
        </w:rPr>
        <w:t>Tratamiento Farmacológico</w:t>
      </w:r>
    </w:p>
    <w:p w14:paraId="79A6A78E" w14:textId="77777777" w:rsidR="007B3EE6" w:rsidRPr="00D43FC6" w:rsidRDefault="003A71FD" w:rsidP="003A71FD">
      <w:pPr>
        <w:numPr>
          <w:ilvl w:val="0"/>
          <w:numId w:val="13"/>
        </w:num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Psicoestimulante: Metilfenidato (10 mg) 0,3- 0,6 mg/kg/día.</w:t>
      </w:r>
      <w:r w:rsidR="007B3EE6" w:rsidRPr="00D43FC6">
        <w:rPr>
          <w:rFonts w:ascii="Arial" w:hAnsi="Arial" w:cs="Arial"/>
          <w:bCs/>
          <w:sz w:val="24"/>
          <w:szCs w:val="24"/>
        </w:rPr>
        <w:t xml:space="preserve"> </w:t>
      </w:r>
    </w:p>
    <w:p w14:paraId="0976F1BE" w14:textId="77777777" w:rsidR="003A71FD" w:rsidRPr="00D43FC6" w:rsidRDefault="007B3EE6" w:rsidP="007B3EE6">
      <w:p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lastRenderedPageBreak/>
        <w:t xml:space="preserve">Los psicoestimulantes serán utilizados cuando los escolares se enfrentan a las tareas escolares, las impartidas por la televisión (Cuba) y los trabajos individuales mientras se hallen en aislamiento social.   </w:t>
      </w:r>
    </w:p>
    <w:p w14:paraId="3324C2F1" w14:textId="77777777" w:rsidR="008E6700" w:rsidRPr="00D43FC6" w:rsidRDefault="00F40BD8" w:rsidP="007B3EE6">
      <w:p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Para garantizar el mantenimiento del tratamiento, el Ministerio de Salud Pública en coordinación con las farmacias, orientó la validez de los certificados y recetas de este medicamento.</w:t>
      </w:r>
    </w:p>
    <w:p w14:paraId="245764E1" w14:textId="77777777" w:rsidR="003A71FD" w:rsidRPr="00D43FC6" w:rsidRDefault="003A71FD" w:rsidP="003A71FD">
      <w:pPr>
        <w:numPr>
          <w:ilvl w:val="0"/>
          <w:numId w:val="13"/>
        </w:num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Antidepresivos</w:t>
      </w:r>
      <w:r w:rsidR="007B3EE6" w:rsidRPr="00D43FC6">
        <w:rPr>
          <w:rFonts w:ascii="Arial" w:hAnsi="Arial" w:cs="Arial"/>
          <w:bCs/>
          <w:sz w:val="24"/>
          <w:szCs w:val="24"/>
        </w:rPr>
        <w:t xml:space="preserve"> t</w:t>
      </w:r>
      <w:r w:rsidRPr="00D43FC6">
        <w:rPr>
          <w:rFonts w:ascii="Arial" w:hAnsi="Arial" w:cs="Arial"/>
          <w:bCs/>
          <w:sz w:val="24"/>
          <w:szCs w:val="24"/>
        </w:rPr>
        <w:t>ricíclicos. Imipramina (25 mg) 0,5- 3 mg/kg/día</w:t>
      </w:r>
      <w:r w:rsidR="007B3EE6" w:rsidRPr="00D43FC6">
        <w:rPr>
          <w:rFonts w:ascii="Arial" w:hAnsi="Arial" w:cs="Arial"/>
          <w:bCs/>
          <w:sz w:val="24"/>
          <w:szCs w:val="24"/>
        </w:rPr>
        <w:t>.</w:t>
      </w:r>
    </w:p>
    <w:p w14:paraId="47C5D099" w14:textId="77777777" w:rsidR="007B3EE6" w:rsidRPr="00D43FC6" w:rsidRDefault="007B3EE6" w:rsidP="007B3EE6">
      <w:p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 xml:space="preserve">Se utilizarán si existe comorbilidad a expensas de síntomas ansiosos o depresivos, los que pueden aparecer con frecuencia en este período de distanciamiento social. </w:t>
      </w:r>
    </w:p>
    <w:p w14:paraId="0AE054A7" w14:textId="77777777" w:rsidR="003A71FD" w:rsidRPr="00D43FC6" w:rsidRDefault="003A71FD" w:rsidP="003A71FD">
      <w:pPr>
        <w:numPr>
          <w:ilvl w:val="0"/>
          <w:numId w:val="13"/>
        </w:num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Neuromoduladores: Carbamazepina (200mg) 10-20 mg/kg/día</w:t>
      </w:r>
      <w:r w:rsidR="007B3EE6" w:rsidRPr="00D43FC6">
        <w:rPr>
          <w:rFonts w:ascii="Arial" w:hAnsi="Arial" w:cs="Arial"/>
          <w:bCs/>
          <w:sz w:val="24"/>
          <w:szCs w:val="24"/>
        </w:rPr>
        <w:t>.</w:t>
      </w:r>
      <w:r w:rsidRPr="00D43FC6">
        <w:rPr>
          <w:rFonts w:ascii="Arial" w:hAnsi="Arial" w:cs="Arial"/>
          <w:bCs/>
          <w:sz w:val="24"/>
          <w:szCs w:val="24"/>
        </w:rPr>
        <w:t xml:space="preserve"> </w:t>
      </w:r>
    </w:p>
    <w:p w14:paraId="5B1C40B1" w14:textId="77777777" w:rsidR="007B3EE6" w:rsidRPr="00D43FC6" w:rsidRDefault="007B3EE6" w:rsidP="007B3EE6">
      <w:p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En niños o adolescentes muy impulsivos suele usarse algún neuromodulador, que en nuestro medio suele ser la carbamazepina.</w:t>
      </w:r>
    </w:p>
    <w:p w14:paraId="65EA9EB7" w14:textId="77777777" w:rsidR="003A71FD" w:rsidRPr="00D43FC6" w:rsidRDefault="003A71FD" w:rsidP="003A71FD">
      <w:pPr>
        <w:numPr>
          <w:ilvl w:val="0"/>
          <w:numId w:val="13"/>
        </w:num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 xml:space="preserve">Neurolépticos: </w:t>
      </w:r>
      <w:proofErr w:type="spellStart"/>
      <w:r w:rsidRPr="00D43FC6">
        <w:rPr>
          <w:rFonts w:ascii="Arial" w:hAnsi="Arial" w:cs="Arial"/>
          <w:bCs/>
          <w:sz w:val="24"/>
          <w:szCs w:val="24"/>
        </w:rPr>
        <w:t>Tioridazina</w:t>
      </w:r>
      <w:proofErr w:type="spellEnd"/>
      <w:r w:rsidRPr="00D43FC6">
        <w:rPr>
          <w:rFonts w:ascii="Arial" w:hAnsi="Arial" w:cs="Arial"/>
          <w:bCs/>
          <w:sz w:val="24"/>
          <w:szCs w:val="24"/>
        </w:rPr>
        <w:t xml:space="preserve">, Haloperidol, </w:t>
      </w:r>
      <w:r w:rsidRPr="00D43FC6">
        <w:rPr>
          <w:rFonts w:ascii="Arial" w:hAnsi="Arial" w:cs="Arial"/>
          <w:bCs/>
          <w:sz w:val="24"/>
          <w:szCs w:val="24"/>
          <w:lang w:val="en-US"/>
        </w:rPr>
        <w:t>R</w:t>
      </w:r>
      <w:proofErr w:type="spellStart"/>
      <w:r w:rsidRPr="00D43FC6">
        <w:rPr>
          <w:rFonts w:ascii="Arial" w:hAnsi="Arial" w:cs="Arial"/>
          <w:bCs/>
          <w:sz w:val="24"/>
          <w:szCs w:val="24"/>
        </w:rPr>
        <w:t>isperidona</w:t>
      </w:r>
      <w:proofErr w:type="spellEnd"/>
      <w:r w:rsidR="007B3EE6" w:rsidRPr="00D43FC6">
        <w:rPr>
          <w:rFonts w:ascii="Arial" w:hAnsi="Arial" w:cs="Arial"/>
          <w:bCs/>
          <w:sz w:val="24"/>
          <w:szCs w:val="24"/>
        </w:rPr>
        <w:t>.</w:t>
      </w:r>
      <w:r w:rsidRPr="00D43FC6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74D7B934" w14:textId="77777777" w:rsidR="007B3EE6" w:rsidRPr="00D43FC6" w:rsidRDefault="008E6700" w:rsidP="007B3EE6">
      <w:pPr>
        <w:spacing w:after="0" w:line="360" w:lineRule="auto"/>
        <w:ind w:left="1068"/>
        <w:jc w:val="both"/>
        <w:rPr>
          <w:rFonts w:ascii="Arial" w:hAnsi="Arial" w:cs="Arial"/>
          <w:bCs/>
          <w:sz w:val="24"/>
          <w:szCs w:val="24"/>
        </w:rPr>
      </w:pPr>
      <w:r w:rsidRPr="00D43FC6">
        <w:rPr>
          <w:rFonts w:ascii="Arial" w:hAnsi="Arial" w:cs="Arial"/>
          <w:bCs/>
          <w:sz w:val="24"/>
          <w:szCs w:val="24"/>
        </w:rPr>
        <w:t>En ocasiones l</w:t>
      </w:r>
      <w:r w:rsidR="007B3EE6" w:rsidRPr="00D43FC6">
        <w:rPr>
          <w:rFonts w:ascii="Arial" w:hAnsi="Arial" w:cs="Arial"/>
          <w:bCs/>
          <w:sz w:val="24"/>
          <w:szCs w:val="24"/>
        </w:rPr>
        <w:t>a conducta muy desajustada requiere</w:t>
      </w:r>
      <w:r w:rsidRPr="00D43FC6">
        <w:rPr>
          <w:rFonts w:ascii="Arial" w:hAnsi="Arial" w:cs="Arial"/>
          <w:bCs/>
          <w:sz w:val="24"/>
          <w:szCs w:val="24"/>
        </w:rPr>
        <w:t xml:space="preserve"> </w:t>
      </w:r>
      <w:r w:rsidR="007B3EE6" w:rsidRPr="00D43FC6">
        <w:rPr>
          <w:rFonts w:ascii="Arial" w:hAnsi="Arial" w:cs="Arial"/>
          <w:bCs/>
          <w:sz w:val="24"/>
          <w:szCs w:val="24"/>
        </w:rPr>
        <w:t>la utilización de</w:t>
      </w:r>
      <w:r w:rsidRPr="00D43FC6">
        <w:rPr>
          <w:rFonts w:ascii="Arial" w:hAnsi="Arial" w:cs="Arial"/>
          <w:bCs/>
          <w:sz w:val="24"/>
          <w:szCs w:val="24"/>
        </w:rPr>
        <w:t xml:space="preserve"> neurolépticos como la </w:t>
      </w:r>
      <w:proofErr w:type="spellStart"/>
      <w:r w:rsidRPr="00D43FC6">
        <w:rPr>
          <w:rFonts w:ascii="Arial" w:hAnsi="Arial" w:cs="Arial"/>
          <w:bCs/>
          <w:sz w:val="24"/>
          <w:szCs w:val="24"/>
        </w:rPr>
        <w:t>tioridazina</w:t>
      </w:r>
      <w:proofErr w:type="spellEnd"/>
      <w:r w:rsidRPr="00D43FC6">
        <w:rPr>
          <w:rFonts w:ascii="Arial" w:hAnsi="Arial" w:cs="Arial"/>
          <w:bCs/>
          <w:sz w:val="24"/>
          <w:szCs w:val="24"/>
        </w:rPr>
        <w:t xml:space="preserve">, el haloperidol, y </w:t>
      </w:r>
      <w:r w:rsidR="007B3EE6" w:rsidRPr="00D43FC6">
        <w:rPr>
          <w:rFonts w:ascii="Arial" w:hAnsi="Arial" w:cs="Arial"/>
          <w:bCs/>
          <w:sz w:val="24"/>
          <w:szCs w:val="24"/>
        </w:rPr>
        <w:t>la risperidona</w:t>
      </w:r>
      <w:r w:rsidRPr="00D43FC6">
        <w:rPr>
          <w:rFonts w:ascii="Arial" w:hAnsi="Arial" w:cs="Arial"/>
          <w:bCs/>
          <w:sz w:val="24"/>
          <w:szCs w:val="24"/>
        </w:rPr>
        <w:t>.</w:t>
      </w:r>
    </w:p>
    <w:p w14:paraId="12E90138" w14:textId="77777777" w:rsidR="003A71FD" w:rsidRPr="00D43FC6" w:rsidRDefault="003A71FD" w:rsidP="008E6700">
      <w:pPr>
        <w:pStyle w:val="Prrafodelista"/>
        <w:spacing w:line="360" w:lineRule="auto"/>
        <w:ind w:left="1068"/>
        <w:jc w:val="both"/>
        <w:rPr>
          <w:bCs/>
        </w:rPr>
      </w:pPr>
    </w:p>
    <w:p w14:paraId="0FE0889B" w14:textId="77777777" w:rsidR="007B3EE6" w:rsidRPr="00D43FC6" w:rsidRDefault="007B3EE6" w:rsidP="003A71FD">
      <w:pPr>
        <w:spacing w:after="0" w:line="360" w:lineRule="auto"/>
        <w:ind w:left="708"/>
        <w:jc w:val="both"/>
        <w:rPr>
          <w:bCs/>
        </w:rPr>
      </w:pPr>
    </w:p>
    <w:p w14:paraId="33E54BD2" w14:textId="77777777" w:rsidR="007B3EE6" w:rsidRDefault="007B3EE6" w:rsidP="003A71FD">
      <w:pPr>
        <w:spacing w:after="0" w:line="360" w:lineRule="auto"/>
        <w:ind w:left="708"/>
        <w:jc w:val="both"/>
        <w:rPr>
          <w:bCs/>
        </w:rPr>
      </w:pPr>
    </w:p>
    <w:p w14:paraId="7E9A82E3" w14:textId="77777777" w:rsidR="007B3EE6" w:rsidRDefault="007B3EE6" w:rsidP="003A71FD">
      <w:pPr>
        <w:spacing w:after="0" w:line="360" w:lineRule="auto"/>
        <w:ind w:left="708"/>
        <w:jc w:val="both"/>
        <w:rPr>
          <w:bCs/>
        </w:rPr>
      </w:pPr>
    </w:p>
    <w:p w14:paraId="089C493C" w14:textId="77777777" w:rsidR="003062E0" w:rsidRDefault="003062E0" w:rsidP="00F558AE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/>
          <w:bCs/>
        </w:rPr>
      </w:pPr>
    </w:p>
    <w:p w14:paraId="6EB2458E" w14:textId="77777777" w:rsidR="003062E0" w:rsidRPr="008E6700" w:rsidRDefault="003062E0" w:rsidP="008E6700">
      <w:pPr>
        <w:ind w:firstLine="708"/>
        <w:rPr>
          <w:lang w:val="es-MX" w:eastAsia="es-ES"/>
        </w:rPr>
      </w:pPr>
    </w:p>
    <w:p w14:paraId="482352B8" w14:textId="77777777" w:rsidR="003062E0" w:rsidRDefault="003062E0" w:rsidP="003062E0">
      <w:pPr>
        <w:rPr>
          <w:lang w:eastAsia="es-ES"/>
        </w:rPr>
      </w:pPr>
    </w:p>
    <w:p w14:paraId="0E2939AF" w14:textId="77777777" w:rsidR="003062E0" w:rsidRDefault="003062E0" w:rsidP="003062E0">
      <w:pPr>
        <w:spacing w:after="0" w:line="240" w:lineRule="auto"/>
        <w:ind w:left="360"/>
        <w:rPr>
          <w:lang w:val="es-MX"/>
        </w:rPr>
      </w:pPr>
    </w:p>
    <w:sectPr w:rsidR="003062E0" w:rsidSect="00821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2251B"/>
    <w:multiLevelType w:val="hybridMultilevel"/>
    <w:tmpl w:val="91A04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BC3"/>
    <w:multiLevelType w:val="hybridMultilevel"/>
    <w:tmpl w:val="C23C2BC4"/>
    <w:lvl w:ilvl="0" w:tplc="0D62EA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47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2B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60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03B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8818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4A7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66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4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272F3"/>
    <w:multiLevelType w:val="hybridMultilevel"/>
    <w:tmpl w:val="D7009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4595F"/>
    <w:multiLevelType w:val="hybridMultilevel"/>
    <w:tmpl w:val="BFD49A32"/>
    <w:lvl w:ilvl="0" w:tplc="DC1CA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4B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04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5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4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6B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40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64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FAE3451"/>
    <w:multiLevelType w:val="hybridMultilevel"/>
    <w:tmpl w:val="6D20DE04"/>
    <w:lvl w:ilvl="0" w:tplc="0D62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7648AA"/>
    <w:multiLevelType w:val="hybridMultilevel"/>
    <w:tmpl w:val="C3AAEB8A"/>
    <w:lvl w:ilvl="0" w:tplc="8F227B48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Times New Roman" w:hAnsi="Times New Roman" w:hint="default"/>
      </w:rPr>
    </w:lvl>
    <w:lvl w:ilvl="1" w:tplc="E08A9F48" w:tentative="1">
      <w:start w:val="1"/>
      <w:numFmt w:val="bullet"/>
      <w:lvlText w:val="•"/>
      <w:lvlJc w:val="left"/>
      <w:pPr>
        <w:tabs>
          <w:tab w:val="num" w:pos="2072"/>
        </w:tabs>
        <w:ind w:left="2072" w:hanging="360"/>
      </w:pPr>
      <w:rPr>
        <w:rFonts w:ascii="Times New Roman" w:hAnsi="Times New Roman" w:hint="default"/>
      </w:rPr>
    </w:lvl>
    <w:lvl w:ilvl="2" w:tplc="1882785C" w:tentative="1">
      <w:start w:val="1"/>
      <w:numFmt w:val="bullet"/>
      <w:lvlText w:val="•"/>
      <w:lvlJc w:val="left"/>
      <w:pPr>
        <w:tabs>
          <w:tab w:val="num" w:pos="2792"/>
        </w:tabs>
        <w:ind w:left="2792" w:hanging="360"/>
      </w:pPr>
      <w:rPr>
        <w:rFonts w:ascii="Times New Roman" w:hAnsi="Times New Roman" w:hint="default"/>
      </w:rPr>
    </w:lvl>
    <w:lvl w:ilvl="3" w:tplc="E174C90E" w:tentative="1">
      <w:start w:val="1"/>
      <w:numFmt w:val="bullet"/>
      <w:lvlText w:val="•"/>
      <w:lvlJc w:val="left"/>
      <w:pPr>
        <w:tabs>
          <w:tab w:val="num" w:pos="3512"/>
        </w:tabs>
        <w:ind w:left="3512" w:hanging="360"/>
      </w:pPr>
      <w:rPr>
        <w:rFonts w:ascii="Times New Roman" w:hAnsi="Times New Roman" w:hint="default"/>
      </w:rPr>
    </w:lvl>
    <w:lvl w:ilvl="4" w:tplc="C0A62E2A" w:tentative="1">
      <w:start w:val="1"/>
      <w:numFmt w:val="bullet"/>
      <w:lvlText w:val="•"/>
      <w:lvlJc w:val="left"/>
      <w:pPr>
        <w:tabs>
          <w:tab w:val="num" w:pos="4232"/>
        </w:tabs>
        <w:ind w:left="4232" w:hanging="360"/>
      </w:pPr>
      <w:rPr>
        <w:rFonts w:ascii="Times New Roman" w:hAnsi="Times New Roman" w:hint="default"/>
      </w:rPr>
    </w:lvl>
    <w:lvl w:ilvl="5" w:tplc="68E4770A" w:tentative="1">
      <w:start w:val="1"/>
      <w:numFmt w:val="bullet"/>
      <w:lvlText w:val="•"/>
      <w:lvlJc w:val="left"/>
      <w:pPr>
        <w:tabs>
          <w:tab w:val="num" w:pos="4952"/>
        </w:tabs>
        <w:ind w:left="4952" w:hanging="360"/>
      </w:pPr>
      <w:rPr>
        <w:rFonts w:ascii="Times New Roman" w:hAnsi="Times New Roman" w:hint="default"/>
      </w:rPr>
    </w:lvl>
    <w:lvl w:ilvl="6" w:tplc="2DC0AA50" w:tentative="1">
      <w:start w:val="1"/>
      <w:numFmt w:val="bullet"/>
      <w:lvlText w:val="•"/>
      <w:lvlJc w:val="left"/>
      <w:pPr>
        <w:tabs>
          <w:tab w:val="num" w:pos="5672"/>
        </w:tabs>
        <w:ind w:left="5672" w:hanging="360"/>
      </w:pPr>
      <w:rPr>
        <w:rFonts w:ascii="Times New Roman" w:hAnsi="Times New Roman" w:hint="default"/>
      </w:rPr>
    </w:lvl>
    <w:lvl w:ilvl="7" w:tplc="4EAEF0BA" w:tentative="1">
      <w:start w:val="1"/>
      <w:numFmt w:val="bullet"/>
      <w:lvlText w:val="•"/>
      <w:lvlJc w:val="left"/>
      <w:pPr>
        <w:tabs>
          <w:tab w:val="num" w:pos="6392"/>
        </w:tabs>
        <w:ind w:left="6392" w:hanging="360"/>
      </w:pPr>
      <w:rPr>
        <w:rFonts w:ascii="Times New Roman" w:hAnsi="Times New Roman" w:hint="default"/>
      </w:rPr>
    </w:lvl>
    <w:lvl w:ilvl="8" w:tplc="BEA6761A" w:tentative="1">
      <w:start w:val="1"/>
      <w:numFmt w:val="bullet"/>
      <w:lvlText w:val="•"/>
      <w:lvlJc w:val="left"/>
      <w:pPr>
        <w:tabs>
          <w:tab w:val="num" w:pos="7112"/>
        </w:tabs>
        <w:ind w:left="7112" w:hanging="360"/>
      </w:pPr>
      <w:rPr>
        <w:rFonts w:ascii="Times New Roman" w:hAnsi="Times New Roman" w:hint="default"/>
      </w:rPr>
    </w:lvl>
  </w:abstractNum>
  <w:abstractNum w:abstractNumId="6" w15:restartNumberingAfterBreak="0">
    <w:nsid w:val="4DD40929"/>
    <w:multiLevelType w:val="hybridMultilevel"/>
    <w:tmpl w:val="2344547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04A76DF"/>
    <w:multiLevelType w:val="hybridMultilevel"/>
    <w:tmpl w:val="3666658C"/>
    <w:lvl w:ilvl="0" w:tplc="16981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E5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A7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14B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BA6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C02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027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4E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27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7A2CD5"/>
    <w:multiLevelType w:val="hybridMultilevel"/>
    <w:tmpl w:val="29E465E2"/>
    <w:lvl w:ilvl="0" w:tplc="0D62EA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92475"/>
    <w:multiLevelType w:val="hybridMultilevel"/>
    <w:tmpl w:val="B6F0CE74"/>
    <w:lvl w:ilvl="0" w:tplc="C37E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A83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A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084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ED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CB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C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06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6A7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5B4805"/>
    <w:multiLevelType w:val="hybridMultilevel"/>
    <w:tmpl w:val="3E40A976"/>
    <w:lvl w:ilvl="0" w:tplc="92E4C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42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8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27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E3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C2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528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61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63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B1625E"/>
    <w:multiLevelType w:val="hybridMultilevel"/>
    <w:tmpl w:val="05783C7C"/>
    <w:lvl w:ilvl="0" w:tplc="0D62E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0F71E6"/>
    <w:multiLevelType w:val="hybridMultilevel"/>
    <w:tmpl w:val="BD52A5A6"/>
    <w:lvl w:ilvl="0" w:tplc="6A62B1E4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  <w:lvl w:ilvl="1" w:tplc="F59880AA" w:tentative="1">
      <w:start w:val="1"/>
      <w:numFmt w:val="bullet"/>
      <w:lvlText w:val="•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</w:rPr>
    </w:lvl>
    <w:lvl w:ilvl="2" w:tplc="A2FAD4FC" w:tentative="1">
      <w:start w:val="1"/>
      <w:numFmt w:val="bullet"/>
      <w:lvlText w:val="•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</w:rPr>
    </w:lvl>
    <w:lvl w:ilvl="3" w:tplc="629689A6" w:tentative="1">
      <w:start w:val="1"/>
      <w:numFmt w:val="bullet"/>
      <w:lvlText w:val="•"/>
      <w:lvlJc w:val="left"/>
      <w:pPr>
        <w:tabs>
          <w:tab w:val="num" w:pos="3654"/>
        </w:tabs>
        <w:ind w:left="3654" w:hanging="360"/>
      </w:pPr>
      <w:rPr>
        <w:rFonts w:ascii="Times New Roman" w:hAnsi="Times New Roman" w:hint="default"/>
      </w:rPr>
    </w:lvl>
    <w:lvl w:ilvl="4" w:tplc="2EA2618C" w:tentative="1">
      <w:start w:val="1"/>
      <w:numFmt w:val="bullet"/>
      <w:lvlText w:val="•"/>
      <w:lvlJc w:val="left"/>
      <w:pPr>
        <w:tabs>
          <w:tab w:val="num" w:pos="4374"/>
        </w:tabs>
        <w:ind w:left="4374" w:hanging="360"/>
      </w:pPr>
      <w:rPr>
        <w:rFonts w:ascii="Times New Roman" w:hAnsi="Times New Roman" w:hint="default"/>
      </w:rPr>
    </w:lvl>
    <w:lvl w:ilvl="5" w:tplc="BD7A7CCE" w:tentative="1">
      <w:start w:val="1"/>
      <w:numFmt w:val="bullet"/>
      <w:lvlText w:val="•"/>
      <w:lvlJc w:val="left"/>
      <w:pPr>
        <w:tabs>
          <w:tab w:val="num" w:pos="5094"/>
        </w:tabs>
        <w:ind w:left="5094" w:hanging="360"/>
      </w:pPr>
      <w:rPr>
        <w:rFonts w:ascii="Times New Roman" w:hAnsi="Times New Roman" w:hint="default"/>
      </w:rPr>
    </w:lvl>
    <w:lvl w:ilvl="6" w:tplc="5B60E312" w:tentative="1">
      <w:start w:val="1"/>
      <w:numFmt w:val="bullet"/>
      <w:lvlText w:val="•"/>
      <w:lvlJc w:val="left"/>
      <w:pPr>
        <w:tabs>
          <w:tab w:val="num" w:pos="5814"/>
        </w:tabs>
        <w:ind w:left="5814" w:hanging="360"/>
      </w:pPr>
      <w:rPr>
        <w:rFonts w:ascii="Times New Roman" w:hAnsi="Times New Roman" w:hint="default"/>
      </w:rPr>
    </w:lvl>
    <w:lvl w:ilvl="7" w:tplc="ECAC3624" w:tentative="1">
      <w:start w:val="1"/>
      <w:numFmt w:val="bullet"/>
      <w:lvlText w:val="•"/>
      <w:lvlJc w:val="left"/>
      <w:pPr>
        <w:tabs>
          <w:tab w:val="num" w:pos="6534"/>
        </w:tabs>
        <w:ind w:left="6534" w:hanging="360"/>
      </w:pPr>
      <w:rPr>
        <w:rFonts w:ascii="Times New Roman" w:hAnsi="Times New Roman" w:hint="default"/>
      </w:rPr>
    </w:lvl>
    <w:lvl w:ilvl="8" w:tplc="7C041FBE" w:tentative="1">
      <w:start w:val="1"/>
      <w:numFmt w:val="bullet"/>
      <w:lvlText w:val="•"/>
      <w:lvlJc w:val="left"/>
      <w:pPr>
        <w:tabs>
          <w:tab w:val="num" w:pos="7254"/>
        </w:tabs>
        <w:ind w:left="7254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C9C"/>
    <w:rsid w:val="0003554D"/>
    <w:rsid w:val="00036818"/>
    <w:rsid w:val="000828B4"/>
    <w:rsid w:val="000D411C"/>
    <w:rsid w:val="002C2DB6"/>
    <w:rsid w:val="002E315F"/>
    <w:rsid w:val="003062E0"/>
    <w:rsid w:val="00353950"/>
    <w:rsid w:val="00372D72"/>
    <w:rsid w:val="00374110"/>
    <w:rsid w:val="00380373"/>
    <w:rsid w:val="003A71FD"/>
    <w:rsid w:val="00412E5C"/>
    <w:rsid w:val="004F7F08"/>
    <w:rsid w:val="006157A1"/>
    <w:rsid w:val="0063525B"/>
    <w:rsid w:val="00740626"/>
    <w:rsid w:val="0076021C"/>
    <w:rsid w:val="007A4C82"/>
    <w:rsid w:val="007B3EE6"/>
    <w:rsid w:val="007E1D22"/>
    <w:rsid w:val="0081524A"/>
    <w:rsid w:val="00821A0D"/>
    <w:rsid w:val="008D59B0"/>
    <w:rsid w:val="008E6700"/>
    <w:rsid w:val="009D327F"/>
    <w:rsid w:val="009D7BCE"/>
    <w:rsid w:val="00A34665"/>
    <w:rsid w:val="00C0323A"/>
    <w:rsid w:val="00C116F1"/>
    <w:rsid w:val="00D43FC6"/>
    <w:rsid w:val="00D53CB8"/>
    <w:rsid w:val="00DE5B7E"/>
    <w:rsid w:val="00E154DD"/>
    <w:rsid w:val="00E84D6D"/>
    <w:rsid w:val="00ED1C9C"/>
    <w:rsid w:val="00F40BD8"/>
    <w:rsid w:val="00F558AE"/>
    <w:rsid w:val="00FC6A52"/>
    <w:rsid w:val="00FD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3AE7"/>
  <w15:docId w15:val="{FFC219D4-7FE0-41CF-A1FD-B44306A4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1C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1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1803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45</cp:revision>
  <dcterms:created xsi:type="dcterms:W3CDTF">2020-04-27T21:04:00Z</dcterms:created>
  <dcterms:modified xsi:type="dcterms:W3CDTF">2020-05-10T06:26:00Z</dcterms:modified>
</cp:coreProperties>
</file>