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34777" w14:textId="357C35EE" w:rsidR="005A718B" w:rsidRPr="00470C7D" w:rsidRDefault="005A718B" w:rsidP="00470C7D">
      <w:pPr>
        <w:spacing w:line="360" w:lineRule="auto"/>
        <w:jc w:val="both"/>
        <w:rPr>
          <w:rFonts w:ascii="Arial" w:hAnsi="Arial"/>
          <w:b/>
          <w:bCs/>
          <w:sz w:val="24"/>
        </w:rPr>
      </w:pPr>
      <w:r w:rsidRPr="00470C7D">
        <w:rPr>
          <w:rFonts w:ascii="Arial" w:hAnsi="Arial"/>
          <w:b/>
          <w:bCs/>
          <w:sz w:val="24"/>
        </w:rPr>
        <w:t xml:space="preserve">¿Cómo debemos prescribir </w:t>
      </w:r>
      <w:r w:rsidR="00470C7D" w:rsidRPr="00470C7D">
        <w:rPr>
          <w:rFonts w:ascii="Arial" w:hAnsi="Arial"/>
          <w:b/>
          <w:bCs/>
          <w:sz w:val="24"/>
        </w:rPr>
        <w:t>Clozapina en</w:t>
      </w:r>
      <w:r w:rsidRPr="00470C7D">
        <w:rPr>
          <w:rFonts w:ascii="Arial" w:hAnsi="Arial"/>
          <w:b/>
          <w:bCs/>
          <w:sz w:val="24"/>
        </w:rPr>
        <w:t xml:space="preserve"> el contexto de Covid-19?</w:t>
      </w:r>
    </w:p>
    <w:p w14:paraId="78C957F9" w14:textId="77777777" w:rsidR="005A718B" w:rsidRPr="00470C7D" w:rsidRDefault="005A718B" w:rsidP="00470C7D">
      <w:pPr>
        <w:spacing w:line="360" w:lineRule="auto"/>
        <w:jc w:val="both"/>
        <w:rPr>
          <w:rFonts w:ascii="Arial" w:hAnsi="Arial"/>
          <w:b/>
          <w:bCs/>
          <w:sz w:val="24"/>
        </w:rPr>
      </w:pPr>
      <w:r w:rsidRPr="00470C7D">
        <w:rPr>
          <w:rFonts w:ascii="Arial" w:hAnsi="Arial"/>
          <w:b/>
          <w:bCs/>
          <w:sz w:val="24"/>
        </w:rPr>
        <w:t xml:space="preserve">Autor: </w:t>
      </w:r>
    </w:p>
    <w:p w14:paraId="5F40F10E" w14:textId="77777777" w:rsidR="005A718B" w:rsidRPr="00470C7D" w:rsidRDefault="005A718B" w:rsidP="00470C7D">
      <w:pPr>
        <w:spacing w:line="360" w:lineRule="auto"/>
        <w:jc w:val="both"/>
        <w:rPr>
          <w:rFonts w:ascii="Arial" w:hAnsi="Arial"/>
          <w:b/>
          <w:bCs/>
          <w:sz w:val="24"/>
        </w:rPr>
      </w:pPr>
      <w:r w:rsidRPr="00470C7D">
        <w:rPr>
          <w:rFonts w:ascii="Arial" w:hAnsi="Arial"/>
          <w:b/>
          <w:bCs/>
          <w:sz w:val="24"/>
        </w:rPr>
        <w:t>Dr. C Antonio J. Caballero Moreno</w:t>
      </w:r>
    </w:p>
    <w:p w14:paraId="596C865E" w14:textId="77777777" w:rsidR="005A718B" w:rsidRPr="00470C7D" w:rsidRDefault="005A718B" w:rsidP="00470C7D">
      <w:pPr>
        <w:spacing w:line="360" w:lineRule="auto"/>
        <w:jc w:val="both"/>
        <w:rPr>
          <w:rFonts w:ascii="Arial" w:hAnsi="Arial"/>
          <w:b/>
          <w:bCs/>
          <w:sz w:val="24"/>
        </w:rPr>
      </w:pPr>
      <w:r w:rsidRPr="00470C7D">
        <w:rPr>
          <w:rFonts w:ascii="Arial" w:hAnsi="Arial"/>
          <w:b/>
          <w:bCs/>
          <w:sz w:val="24"/>
        </w:rPr>
        <w:t>Profesor e Investigador Titular</w:t>
      </w:r>
    </w:p>
    <w:p w14:paraId="336BADA6" w14:textId="77777777" w:rsidR="005A718B" w:rsidRPr="00470C7D" w:rsidRDefault="005A718B" w:rsidP="00470C7D">
      <w:pPr>
        <w:spacing w:line="360" w:lineRule="auto"/>
        <w:jc w:val="both"/>
        <w:rPr>
          <w:rFonts w:ascii="Arial" w:hAnsi="Arial"/>
          <w:b/>
          <w:bCs/>
          <w:sz w:val="24"/>
        </w:rPr>
      </w:pPr>
      <w:r w:rsidRPr="00470C7D">
        <w:rPr>
          <w:rFonts w:ascii="Arial" w:hAnsi="Arial"/>
          <w:b/>
          <w:bCs/>
          <w:sz w:val="24"/>
        </w:rPr>
        <w:t>Grupo Nacional de Psiquiatría</w:t>
      </w:r>
    </w:p>
    <w:p w14:paraId="44F1898E" w14:textId="743EBA8E" w:rsidR="005A718B" w:rsidRPr="00470C7D" w:rsidRDefault="005A718B" w:rsidP="00470C7D">
      <w:pPr>
        <w:spacing w:line="360" w:lineRule="auto"/>
        <w:jc w:val="both"/>
        <w:rPr>
          <w:rFonts w:ascii="Arial" w:hAnsi="Arial"/>
          <w:b/>
          <w:bCs/>
          <w:sz w:val="24"/>
        </w:rPr>
      </w:pPr>
      <w:r w:rsidRPr="00470C7D">
        <w:rPr>
          <w:rFonts w:ascii="Arial" w:hAnsi="Arial"/>
          <w:b/>
          <w:bCs/>
          <w:sz w:val="24"/>
        </w:rPr>
        <w:t>Sección de Neurociencias SCP</w:t>
      </w:r>
    </w:p>
    <w:p w14:paraId="2587D6CB" w14:textId="7F2058EB" w:rsidR="005A718B" w:rsidRPr="00470C7D" w:rsidRDefault="005A718B" w:rsidP="00470C7D">
      <w:pPr>
        <w:spacing w:line="360" w:lineRule="auto"/>
        <w:jc w:val="both"/>
        <w:rPr>
          <w:rFonts w:ascii="Arial" w:hAnsi="Arial"/>
          <w:sz w:val="24"/>
        </w:rPr>
      </w:pPr>
      <w:r w:rsidRPr="00470C7D">
        <w:rPr>
          <w:rFonts w:ascii="Arial" w:hAnsi="Arial"/>
          <w:b/>
          <w:bCs/>
          <w:sz w:val="24"/>
        </w:rPr>
        <w:t>Clozapina</w:t>
      </w:r>
    </w:p>
    <w:p w14:paraId="170028E8" w14:textId="5B28D5B9" w:rsidR="005A718B" w:rsidRPr="00470C7D" w:rsidRDefault="005A718B" w:rsidP="00470C7D">
      <w:pPr>
        <w:spacing w:line="360" w:lineRule="auto"/>
        <w:jc w:val="both"/>
        <w:rPr>
          <w:rFonts w:ascii="Arial" w:hAnsi="Arial"/>
          <w:bCs/>
          <w:sz w:val="24"/>
        </w:rPr>
      </w:pPr>
      <w:r w:rsidRPr="00470C7D">
        <w:rPr>
          <w:rFonts w:ascii="Arial" w:hAnsi="Arial"/>
          <w:bCs/>
          <w:sz w:val="24"/>
        </w:rPr>
        <w:t>Es un antipsicótico atípico o de segunda generación (el primero), antagonista serotonina-dopamina.</w:t>
      </w:r>
    </w:p>
    <w:p w14:paraId="0054CFAA" w14:textId="77777777" w:rsidR="005A718B" w:rsidRPr="00470C7D" w:rsidRDefault="005A718B" w:rsidP="00470C7D">
      <w:pPr>
        <w:spacing w:line="360" w:lineRule="auto"/>
        <w:jc w:val="both"/>
        <w:rPr>
          <w:rFonts w:ascii="Arial" w:hAnsi="Arial"/>
          <w:b/>
          <w:bCs/>
          <w:sz w:val="24"/>
        </w:rPr>
      </w:pPr>
      <w:r w:rsidRPr="00470C7D">
        <w:rPr>
          <w:rFonts w:ascii="Arial" w:hAnsi="Arial"/>
          <w:b/>
          <w:bCs/>
          <w:sz w:val="24"/>
        </w:rPr>
        <w:t>Comúnmente prescrito para:</w:t>
      </w:r>
    </w:p>
    <w:p w14:paraId="489BFF96" w14:textId="41CE51DB" w:rsidR="005A718B" w:rsidRPr="00470C7D" w:rsidRDefault="005A718B" w:rsidP="00470C7D">
      <w:pPr>
        <w:pStyle w:val="Prrafodelista"/>
        <w:numPr>
          <w:ilvl w:val="0"/>
          <w:numId w:val="3"/>
        </w:numPr>
        <w:spacing w:line="360" w:lineRule="auto"/>
        <w:jc w:val="both"/>
        <w:rPr>
          <w:rFonts w:ascii="Arial" w:hAnsi="Arial"/>
          <w:bCs/>
          <w:sz w:val="24"/>
        </w:rPr>
      </w:pPr>
      <w:r w:rsidRPr="00470C7D">
        <w:rPr>
          <w:rFonts w:ascii="Arial" w:hAnsi="Arial"/>
          <w:bCs/>
          <w:sz w:val="24"/>
        </w:rPr>
        <w:t>Esquizofrenia resistente al tratamiento</w:t>
      </w:r>
    </w:p>
    <w:p w14:paraId="23272942" w14:textId="430E2262" w:rsidR="005A718B" w:rsidRPr="00470C7D" w:rsidRDefault="005A718B" w:rsidP="00470C7D">
      <w:pPr>
        <w:pStyle w:val="Prrafodelista"/>
        <w:numPr>
          <w:ilvl w:val="0"/>
          <w:numId w:val="3"/>
        </w:numPr>
        <w:spacing w:line="360" w:lineRule="auto"/>
        <w:jc w:val="both"/>
        <w:rPr>
          <w:rFonts w:ascii="Arial" w:hAnsi="Arial"/>
          <w:bCs/>
          <w:sz w:val="24"/>
        </w:rPr>
      </w:pPr>
      <w:r w:rsidRPr="00470C7D">
        <w:rPr>
          <w:rFonts w:ascii="Arial" w:hAnsi="Arial"/>
          <w:bCs/>
          <w:sz w:val="24"/>
        </w:rPr>
        <w:t>Reducción de riesgo de conductas suicidas recurrentes en pacientes con esquizofrenia o con trastorno esquizoafectivo</w:t>
      </w:r>
    </w:p>
    <w:p w14:paraId="1049D369" w14:textId="16B4618C" w:rsidR="005A718B" w:rsidRPr="00470C7D" w:rsidRDefault="00A65B57" w:rsidP="00470C7D">
      <w:pPr>
        <w:pStyle w:val="Prrafodelista"/>
        <w:numPr>
          <w:ilvl w:val="0"/>
          <w:numId w:val="3"/>
        </w:numPr>
        <w:spacing w:line="360" w:lineRule="auto"/>
        <w:jc w:val="both"/>
        <w:rPr>
          <w:rFonts w:ascii="Arial" w:hAnsi="Arial"/>
          <w:bCs/>
          <w:sz w:val="24"/>
        </w:rPr>
      </w:pPr>
      <w:r w:rsidRPr="00470C7D">
        <w:rPr>
          <w:rFonts w:ascii="Arial" w:hAnsi="Arial"/>
          <w:bCs/>
          <w:sz w:val="24"/>
        </w:rPr>
        <w:t>Tratamiento del trastorno bipolar resistente</w:t>
      </w:r>
    </w:p>
    <w:p w14:paraId="210EFA19" w14:textId="076372FC" w:rsidR="00A65B57" w:rsidRPr="00470C7D" w:rsidRDefault="00A65B57" w:rsidP="00470C7D">
      <w:pPr>
        <w:pStyle w:val="Prrafodelista"/>
        <w:numPr>
          <w:ilvl w:val="0"/>
          <w:numId w:val="3"/>
        </w:numPr>
        <w:spacing w:line="360" w:lineRule="auto"/>
        <w:jc w:val="both"/>
        <w:rPr>
          <w:rFonts w:ascii="Arial" w:hAnsi="Arial"/>
          <w:bCs/>
          <w:sz w:val="24"/>
        </w:rPr>
      </w:pPr>
      <w:r w:rsidRPr="00470C7D">
        <w:rPr>
          <w:rFonts w:ascii="Arial" w:hAnsi="Arial"/>
          <w:bCs/>
          <w:sz w:val="24"/>
        </w:rPr>
        <w:t>Conducta violenta agresiva en pacientes con psicosis u otros trastornos cerebrales que no responden a otros medicamentos</w:t>
      </w:r>
    </w:p>
    <w:p w14:paraId="0D3ED6FC" w14:textId="5DF2F500" w:rsidR="00A65B57" w:rsidRPr="00470C7D" w:rsidRDefault="00A65B57" w:rsidP="00470C7D">
      <w:pPr>
        <w:spacing w:line="360" w:lineRule="auto"/>
        <w:jc w:val="both"/>
        <w:rPr>
          <w:rFonts w:ascii="Arial" w:hAnsi="Arial"/>
          <w:b/>
          <w:bCs/>
          <w:sz w:val="24"/>
        </w:rPr>
      </w:pPr>
      <w:r w:rsidRPr="00470C7D">
        <w:rPr>
          <w:rFonts w:ascii="Arial" w:hAnsi="Arial"/>
          <w:b/>
          <w:bCs/>
          <w:sz w:val="24"/>
        </w:rPr>
        <w:t>Si funciona:</w:t>
      </w:r>
    </w:p>
    <w:p w14:paraId="0CBDED74" w14:textId="22F6D707" w:rsidR="00A65B57" w:rsidRPr="00470C7D" w:rsidRDefault="00A65B57" w:rsidP="00470C7D">
      <w:pPr>
        <w:pStyle w:val="Prrafodelista"/>
        <w:numPr>
          <w:ilvl w:val="0"/>
          <w:numId w:val="4"/>
        </w:numPr>
        <w:spacing w:line="360" w:lineRule="auto"/>
        <w:jc w:val="both"/>
        <w:rPr>
          <w:rFonts w:ascii="Arial" w:hAnsi="Arial"/>
          <w:bCs/>
          <w:sz w:val="24"/>
        </w:rPr>
      </w:pPr>
      <w:r w:rsidRPr="00470C7D">
        <w:rPr>
          <w:rFonts w:ascii="Arial" w:hAnsi="Arial"/>
          <w:bCs/>
          <w:sz w:val="24"/>
        </w:rPr>
        <w:t>En la esquizofrenia refractaria estrictamente definida, 50-60 % de los pacientes responderán a clozapina, la tasa de respuesta a otros AP en la misma situación es de 0-9%</w:t>
      </w:r>
    </w:p>
    <w:p w14:paraId="72A3E44F" w14:textId="1A24F491" w:rsidR="00A65B57" w:rsidRPr="00470C7D" w:rsidRDefault="00A65B57" w:rsidP="00470C7D">
      <w:pPr>
        <w:pStyle w:val="Prrafodelista"/>
        <w:numPr>
          <w:ilvl w:val="0"/>
          <w:numId w:val="4"/>
        </w:numPr>
        <w:spacing w:line="360" w:lineRule="auto"/>
        <w:jc w:val="both"/>
        <w:rPr>
          <w:rFonts w:ascii="Arial" w:hAnsi="Arial"/>
          <w:bCs/>
          <w:sz w:val="24"/>
        </w:rPr>
      </w:pPr>
      <w:r w:rsidRPr="00470C7D">
        <w:rPr>
          <w:rFonts w:ascii="Arial" w:hAnsi="Arial"/>
          <w:bCs/>
          <w:sz w:val="24"/>
        </w:rPr>
        <w:t>Puede mejorar los síntomas negativos, así como síntomas agresivos, cognitivos y agresivos en la esquizofrenia</w:t>
      </w:r>
    </w:p>
    <w:p w14:paraId="16C71D3E" w14:textId="5735712C" w:rsidR="00A65B57" w:rsidRPr="00470C7D" w:rsidRDefault="00A65B57" w:rsidP="00470C7D">
      <w:pPr>
        <w:pStyle w:val="Prrafodelista"/>
        <w:numPr>
          <w:ilvl w:val="0"/>
          <w:numId w:val="4"/>
        </w:numPr>
        <w:spacing w:line="360" w:lineRule="auto"/>
        <w:jc w:val="both"/>
        <w:rPr>
          <w:rFonts w:ascii="Arial" w:hAnsi="Arial"/>
          <w:bCs/>
          <w:sz w:val="24"/>
        </w:rPr>
      </w:pPr>
      <w:r w:rsidRPr="00470C7D">
        <w:rPr>
          <w:rFonts w:ascii="Arial" w:hAnsi="Arial"/>
          <w:bCs/>
          <w:sz w:val="24"/>
        </w:rPr>
        <w:t>La mayoría de los esquizofrénicos no consiguen una remisión total pero un tercio tiene una reducción de los síntomas</w:t>
      </w:r>
    </w:p>
    <w:p w14:paraId="384393F4" w14:textId="578979E5" w:rsidR="00A65B57" w:rsidRPr="00470C7D" w:rsidRDefault="00A65B57" w:rsidP="00470C7D">
      <w:pPr>
        <w:pStyle w:val="Prrafodelista"/>
        <w:numPr>
          <w:ilvl w:val="0"/>
          <w:numId w:val="4"/>
        </w:numPr>
        <w:spacing w:line="360" w:lineRule="auto"/>
        <w:jc w:val="both"/>
        <w:rPr>
          <w:rFonts w:ascii="Arial" w:hAnsi="Arial"/>
          <w:bCs/>
          <w:sz w:val="24"/>
        </w:rPr>
      </w:pPr>
      <w:r w:rsidRPr="00470C7D">
        <w:rPr>
          <w:rFonts w:ascii="Arial" w:hAnsi="Arial"/>
          <w:bCs/>
          <w:sz w:val="24"/>
        </w:rPr>
        <w:t>Muchos pacientes con trastorno bipolar y otros trastornos con conductas psicóticas y agresivas responderán a clozapina cuando otros medicamentos han fracasado</w:t>
      </w:r>
    </w:p>
    <w:p w14:paraId="50163AB4" w14:textId="77777777" w:rsidR="00A65B57" w:rsidRPr="00470C7D" w:rsidRDefault="00A65B57" w:rsidP="00470C7D">
      <w:pPr>
        <w:spacing w:line="360" w:lineRule="auto"/>
        <w:ind w:left="360"/>
        <w:jc w:val="both"/>
        <w:rPr>
          <w:rFonts w:ascii="Arial" w:hAnsi="Arial"/>
          <w:bCs/>
          <w:sz w:val="24"/>
        </w:rPr>
      </w:pPr>
    </w:p>
    <w:p w14:paraId="5B1992C4" w14:textId="36756B0F" w:rsidR="005A718B" w:rsidRPr="00470C7D" w:rsidRDefault="00A65B57" w:rsidP="00470C7D">
      <w:pPr>
        <w:spacing w:line="360" w:lineRule="auto"/>
        <w:jc w:val="both"/>
        <w:rPr>
          <w:rFonts w:ascii="Arial" w:hAnsi="Arial"/>
          <w:b/>
          <w:bCs/>
          <w:sz w:val="24"/>
        </w:rPr>
      </w:pPr>
      <w:r w:rsidRPr="00470C7D">
        <w:rPr>
          <w:rFonts w:ascii="Arial" w:hAnsi="Arial"/>
          <w:b/>
          <w:bCs/>
          <w:sz w:val="24"/>
        </w:rPr>
        <w:lastRenderedPageBreak/>
        <w:t>Efectos Colaterales:</w:t>
      </w:r>
    </w:p>
    <w:p w14:paraId="5198FDE8" w14:textId="6ED412A5" w:rsidR="00A65B57" w:rsidRPr="00470C7D" w:rsidRDefault="00A65B57" w:rsidP="00470C7D">
      <w:pPr>
        <w:pStyle w:val="Prrafodelista"/>
        <w:numPr>
          <w:ilvl w:val="0"/>
          <w:numId w:val="5"/>
        </w:numPr>
        <w:spacing w:line="360" w:lineRule="auto"/>
        <w:jc w:val="both"/>
        <w:rPr>
          <w:rFonts w:ascii="Arial" w:hAnsi="Arial"/>
          <w:bCs/>
          <w:sz w:val="24"/>
        </w:rPr>
      </w:pPr>
      <w:r w:rsidRPr="00470C7D">
        <w:rPr>
          <w:rFonts w:ascii="Arial" w:hAnsi="Arial"/>
          <w:bCs/>
          <w:sz w:val="24"/>
        </w:rPr>
        <w:t>Por bloqueo de los receptores alfa 1 adrenérgicos: hipotensión ortostática, taquicardia, mareos y sedación</w:t>
      </w:r>
    </w:p>
    <w:p w14:paraId="61076814" w14:textId="2E2B376E" w:rsidR="00A65B57" w:rsidRPr="00470C7D" w:rsidRDefault="00A65B57" w:rsidP="00470C7D">
      <w:pPr>
        <w:pStyle w:val="Prrafodelista"/>
        <w:numPr>
          <w:ilvl w:val="0"/>
          <w:numId w:val="5"/>
        </w:numPr>
        <w:spacing w:line="360" w:lineRule="auto"/>
        <w:jc w:val="both"/>
        <w:rPr>
          <w:rFonts w:ascii="Arial" w:hAnsi="Arial"/>
          <w:bCs/>
          <w:sz w:val="24"/>
        </w:rPr>
      </w:pPr>
      <w:r w:rsidRPr="00470C7D">
        <w:rPr>
          <w:rFonts w:ascii="Arial" w:hAnsi="Arial"/>
          <w:bCs/>
          <w:sz w:val="24"/>
        </w:rPr>
        <w:t xml:space="preserve">Por bloqueo de los receptores muscarínicos 1: sialorrea, constipación, riesgo de </w:t>
      </w:r>
      <w:proofErr w:type="spellStart"/>
      <w:r w:rsidRPr="00470C7D">
        <w:rPr>
          <w:rFonts w:ascii="Arial" w:hAnsi="Arial"/>
          <w:bCs/>
          <w:sz w:val="24"/>
        </w:rPr>
        <w:t>ileo</w:t>
      </w:r>
      <w:proofErr w:type="spellEnd"/>
      <w:r w:rsidRPr="00470C7D">
        <w:rPr>
          <w:rFonts w:ascii="Arial" w:hAnsi="Arial"/>
          <w:bCs/>
          <w:sz w:val="24"/>
        </w:rPr>
        <w:t xml:space="preserve"> paralítico y sedación</w:t>
      </w:r>
    </w:p>
    <w:p w14:paraId="2FA26F3F" w14:textId="5D82D03A" w:rsidR="00A65B57" w:rsidRPr="00470C7D" w:rsidRDefault="00A65B57" w:rsidP="00470C7D">
      <w:pPr>
        <w:pStyle w:val="Prrafodelista"/>
        <w:numPr>
          <w:ilvl w:val="0"/>
          <w:numId w:val="5"/>
        </w:numPr>
        <w:spacing w:line="360" w:lineRule="auto"/>
        <w:jc w:val="both"/>
        <w:rPr>
          <w:rFonts w:ascii="Arial" w:hAnsi="Arial"/>
          <w:bCs/>
          <w:sz w:val="24"/>
        </w:rPr>
      </w:pPr>
      <w:r w:rsidRPr="00470C7D">
        <w:rPr>
          <w:rFonts w:ascii="Arial" w:hAnsi="Arial"/>
          <w:bCs/>
          <w:sz w:val="24"/>
        </w:rPr>
        <w:t xml:space="preserve">Por bloqueo de los receptores histaminérgicos 1: pueden causar sedación y probablemente </w:t>
      </w:r>
      <w:r w:rsidR="00BA5E9D" w:rsidRPr="00470C7D">
        <w:rPr>
          <w:rFonts w:ascii="Arial" w:hAnsi="Arial"/>
          <w:bCs/>
          <w:sz w:val="24"/>
        </w:rPr>
        <w:t>ganancia de peso.</w:t>
      </w:r>
    </w:p>
    <w:p w14:paraId="7E7B210D" w14:textId="627A7EB4" w:rsidR="00BA5E9D" w:rsidRPr="00470C7D" w:rsidRDefault="00BA5E9D" w:rsidP="00470C7D">
      <w:pPr>
        <w:pStyle w:val="Prrafodelista"/>
        <w:numPr>
          <w:ilvl w:val="0"/>
          <w:numId w:val="5"/>
        </w:numPr>
        <w:spacing w:line="360" w:lineRule="auto"/>
        <w:jc w:val="both"/>
        <w:rPr>
          <w:rFonts w:ascii="Arial" w:hAnsi="Arial"/>
          <w:bCs/>
          <w:sz w:val="24"/>
        </w:rPr>
      </w:pPr>
      <w:r w:rsidRPr="00470C7D">
        <w:rPr>
          <w:rFonts w:ascii="Arial" w:hAnsi="Arial"/>
          <w:bCs/>
          <w:sz w:val="24"/>
        </w:rPr>
        <w:t>El mecanismo de la ganancia de peso y el riesgo aumentado de diabetes y dislipidemia se desconoce, pero la regulación de la insulina puede estar dañada por bloqueo de los receptores muscarínicos pancreáticos M3</w:t>
      </w:r>
    </w:p>
    <w:p w14:paraId="10A20836" w14:textId="77777777" w:rsidR="005A718B" w:rsidRPr="00470C7D" w:rsidRDefault="005A718B" w:rsidP="00470C7D">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r w:rsidRPr="00470C7D">
        <w:rPr>
          <w:rFonts w:ascii="Arial" w:eastAsiaTheme="minorEastAsia" w:hAnsi="Arial" w:cs="Arial"/>
          <w:b/>
          <w:bCs/>
          <w:color w:val="000000" w:themeColor="text1"/>
          <w:kern w:val="24"/>
          <w:sz w:val="24"/>
          <w:szCs w:val="24"/>
          <w:lang w:val="es-ES_tradnl"/>
        </w:rPr>
        <w:t>Contexto del COVID-19</w:t>
      </w:r>
    </w:p>
    <w:p w14:paraId="309DFD59" w14:textId="3549D618" w:rsidR="005A718B" w:rsidRPr="00470C7D" w:rsidRDefault="00BA5E9D" w:rsidP="00470C7D">
      <w:pPr>
        <w:kinsoku w:val="0"/>
        <w:overflowPunct w:val="0"/>
        <w:spacing w:line="360" w:lineRule="auto"/>
        <w:jc w:val="both"/>
        <w:textAlignment w:val="baseline"/>
        <w:rPr>
          <w:rFonts w:ascii="Arial" w:eastAsia="Times New Roman" w:hAnsi="Arial" w:cs="Arial"/>
          <w:bCs/>
          <w:sz w:val="24"/>
          <w:szCs w:val="24"/>
          <w:lang w:eastAsia="es-ES"/>
        </w:rPr>
      </w:pPr>
      <w:r w:rsidRPr="00470C7D">
        <w:rPr>
          <w:rFonts w:ascii="Arial" w:eastAsia="Times New Roman" w:hAnsi="Arial" w:cs="Arial"/>
          <w:bCs/>
          <w:sz w:val="24"/>
          <w:szCs w:val="24"/>
          <w:lang w:eastAsia="es-ES"/>
        </w:rPr>
        <w:t>Hallazgos claves:</w:t>
      </w:r>
    </w:p>
    <w:p w14:paraId="6CA727F0" w14:textId="4EA779A6" w:rsidR="00BA5E9D" w:rsidRPr="00470C7D" w:rsidRDefault="00BA5E9D" w:rsidP="00470C7D">
      <w:pPr>
        <w:pStyle w:val="Prrafodelista"/>
        <w:numPr>
          <w:ilvl w:val="0"/>
          <w:numId w:val="6"/>
        </w:num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470C7D">
        <w:rPr>
          <w:rFonts w:ascii="Arial" w:eastAsiaTheme="minorEastAsia" w:hAnsi="Arial" w:cs="Arial"/>
          <w:bCs/>
          <w:color w:val="000000" w:themeColor="text1"/>
          <w:kern w:val="24"/>
          <w:sz w:val="24"/>
          <w:szCs w:val="24"/>
          <w:lang w:val="es-ES_tradnl"/>
        </w:rPr>
        <w:t>La frecuencia del monitoreo del conteo absoluto de neutrófilos puede ser reducida con seguridad a cada tres meses en algunos casos</w:t>
      </w:r>
    </w:p>
    <w:p w14:paraId="09F2A40F" w14:textId="4F9B6E9A" w:rsidR="00BA5E9D" w:rsidRPr="00470C7D" w:rsidRDefault="00BA5E9D" w:rsidP="00470C7D">
      <w:pPr>
        <w:pStyle w:val="Prrafodelista"/>
        <w:numPr>
          <w:ilvl w:val="0"/>
          <w:numId w:val="6"/>
        </w:num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470C7D">
        <w:rPr>
          <w:rFonts w:ascii="Arial" w:eastAsiaTheme="minorEastAsia" w:hAnsi="Arial" w:cs="Arial"/>
          <w:bCs/>
          <w:color w:val="000000" w:themeColor="text1"/>
          <w:kern w:val="24"/>
          <w:sz w:val="24"/>
          <w:szCs w:val="24"/>
          <w:lang w:val="es-ES_tradnl"/>
        </w:rPr>
        <w:t>Un paciente que usa clozapina que desarrolla síntomas de cualquier infección debe tener una evaluación urgente por su médico y n conteo sanguíneo completo incluyendo conteo absoluto de neutrófilos</w:t>
      </w:r>
    </w:p>
    <w:p w14:paraId="18EEE848" w14:textId="7A4C4EFF" w:rsidR="00BA5E9D" w:rsidRPr="00470C7D" w:rsidRDefault="00BA5E9D" w:rsidP="00470C7D">
      <w:pPr>
        <w:pStyle w:val="Prrafodelista"/>
        <w:numPr>
          <w:ilvl w:val="0"/>
          <w:numId w:val="6"/>
        </w:num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470C7D">
        <w:rPr>
          <w:rFonts w:ascii="Arial" w:eastAsiaTheme="minorEastAsia" w:hAnsi="Arial" w:cs="Arial"/>
          <w:bCs/>
          <w:color w:val="000000" w:themeColor="text1"/>
          <w:kern w:val="24"/>
          <w:sz w:val="24"/>
          <w:szCs w:val="24"/>
          <w:lang w:val="es-ES_tradnl"/>
        </w:rPr>
        <w:t>Las infecciones sistémicas pueden aumentar el riesgo por toxicidad de clozapina, y puede ser necesario reducir las dosis temporalmente, en más de la mitad.</w:t>
      </w:r>
    </w:p>
    <w:p w14:paraId="379CB084" w14:textId="010A97E6" w:rsidR="00BA5E9D" w:rsidRPr="00470C7D" w:rsidRDefault="00BA5E9D" w:rsidP="00470C7D">
      <w:pPr>
        <w:pStyle w:val="Prrafodelista"/>
        <w:numPr>
          <w:ilvl w:val="0"/>
          <w:numId w:val="6"/>
        </w:num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470C7D">
        <w:rPr>
          <w:rFonts w:ascii="Arial" w:eastAsiaTheme="minorEastAsia" w:hAnsi="Arial" w:cs="Arial"/>
          <w:bCs/>
          <w:color w:val="000000" w:themeColor="text1"/>
          <w:kern w:val="24"/>
          <w:sz w:val="24"/>
          <w:szCs w:val="24"/>
          <w:lang w:val="es-ES_tradnl"/>
        </w:rPr>
        <w:t xml:space="preserve">El cierre de laboratorios durante la epidemia de Covid-19 puede hacer mas difícil realizar el conteo absoluto de neutrófilos para poder prescribirla y el paciente puede necesitar ingreso en terapias intensivas. </w:t>
      </w:r>
    </w:p>
    <w:p w14:paraId="380CFFC5" w14:textId="4978E27B" w:rsidR="005A718B" w:rsidRPr="00470C7D" w:rsidRDefault="005A718B" w:rsidP="00470C7D">
      <w:pPr>
        <w:kinsoku w:val="0"/>
        <w:overflowPunct w:val="0"/>
        <w:spacing w:line="360" w:lineRule="auto"/>
        <w:jc w:val="both"/>
        <w:textAlignment w:val="baseline"/>
        <w:rPr>
          <w:rFonts w:ascii="Arial" w:hAnsi="Arial" w:cs="Arial"/>
          <w:b/>
          <w:bCs/>
          <w:sz w:val="24"/>
          <w:szCs w:val="24"/>
        </w:rPr>
      </w:pPr>
      <w:r w:rsidRPr="00470C7D">
        <w:rPr>
          <w:rFonts w:ascii="Arial" w:hAnsi="Arial" w:cs="Arial"/>
          <w:b/>
          <w:bCs/>
          <w:sz w:val="24"/>
          <w:szCs w:val="24"/>
        </w:rPr>
        <w:t>Estrategias de Enfrentamiento:</w:t>
      </w:r>
    </w:p>
    <w:p w14:paraId="3D9572C8" w14:textId="5CB2BEC8" w:rsidR="00FE3C66" w:rsidRPr="00470C7D" w:rsidRDefault="00FE3C66" w:rsidP="00470C7D">
      <w:pPr>
        <w:pStyle w:val="Prrafodelista"/>
        <w:numPr>
          <w:ilvl w:val="0"/>
          <w:numId w:val="7"/>
        </w:numPr>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Frecuencia de monitoreo de el conteo absoluto de neutrófilos:</w:t>
      </w:r>
    </w:p>
    <w:p w14:paraId="504DE89B" w14:textId="542A9166" w:rsidR="00FE3C66" w:rsidRPr="00470C7D" w:rsidRDefault="00FE3C66" w:rsidP="00470C7D">
      <w:pPr>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La frecuencia del conteo absoluto de neutrófilos puede ser reducida a 3 meses, con prescripción de mas de 90 mg al día (si está bien almacenado), para pacientes que cumplen los siguientes criterios:</w:t>
      </w:r>
    </w:p>
    <w:p w14:paraId="0018D31F" w14:textId="14C9B601" w:rsidR="00FE3C66" w:rsidRPr="00470C7D" w:rsidRDefault="00FE3C66" w:rsidP="00470C7D">
      <w:pPr>
        <w:pStyle w:val="Prrafodelista"/>
        <w:numPr>
          <w:ilvl w:val="0"/>
          <w:numId w:val="8"/>
        </w:numPr>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No tiene acceso práctico o seguro a conteo absoluto de neutrófilos (con tratamiento continuo con clozapina de más de 1 año).</w:t>
      </w:r>
    </w:p>
    <w:p w14:paraId="19580807" w14:textId="59C9EEFD" w:rsidR="00FE3C66" w:rsidRPr="00470C7D" w:rsidRDefault="00FE3C66" w:rsidP="00470C7D">
      <w:pPr>
        <w:pStyle w:val="Prrafodelista"/>
        <w:numPr>
          <w:ilvl w:val="0"/>
          <w:numId w:val="8"/>
        </w:numPr>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lastRenderedPageBreak/>
        <w:t>No tiene historia de conteo absoluto de neutrófilos de 2000/microlitros (o menos de 1500/microlitros si el paciente tiene una historia de neutropenia benigna étnica)</w:t>
      </w:r>
    </w:p>
    <w:p w14:paraId="32E240DE" w14:textId="72B71AB2" w:rsidR="00FE3C66" w:rsidRPr="00470C7D" w:rsidRDefault="00FE3C66" w:rsidP="00470C7D">
      <w:pPr>
        <w:pStyle w:val="Prrafodelista"/>
        <w:numPr>
          <w:ilvl w:val="0"/>
          <w:numId w:val="8"/>
        </w:numPr>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Para pacientes que comienzan con clozapina, la adherencia a los protocolos específicos de cada país, para monitoreo de conteo de neutrófilos se recomienda los primeros 6 meses.</w:t>
      </w:r>
    </w:p>
    <w:p w14:paraId="75880DEE" w14:textId="75FE9652" w:rsidR="00167FF3" w:rsidRPr="00470C7D" w:rsidRDefault="00167FF3" w:rsidP="00470C7D">
      <w:pPr>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La neutropenia severa (conteo absoluto de neutrófilos de menos de 500 mg/microlitros durante la terapia de clozapina es rara y es más proclive a ocurrir en los primeros meses del inicio de la terapia. El riesgo es mucho menor después de 1 año.</w:t>
      </w:r>
    </w:p>
    <w:p w14:paraId="42D9B9D5" w14:textId="22B6E8BE" w:rsidR="00167FF3" w:rsidRPr="00470C7D" w:rsidRDefault="00167FF3" w:rsidP="00470C7D">
      <w:pPr>
        <w:pStyle w:val="Prrafodelista"/>
        <w:numPr>
          <w:ilvl w:val="0"/>
          <w:numId w:val="7"/>
        </w:numPr>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Evaluación urgente de los síntomas:</w:t>
      </w:r>
    </w:p>
    <w:p w14:paraId="5E0B8F66" w14:textId="6F4EFA61" w:rsidR="00167FF3" w:rsidRPr="00470C7D" w:rsidRDefault="00167FF3" w:rsidP="00470C7D">
      <w:pPr>
        <w:pStyle w:val="Prrafodelista"/>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Un paciente que usa clozapina que desarrolla síntomas de cualquier infección, incluyendo Covid-19, debe ser evaluado urgentemente por su médico. Se debe obtener un conteo sanguíneo con conteo absoluto de neutrófilos. El uso de clozapina puede aumentar el riesgo de neumonía. Hay información limitada acerca de como los coronavirus afectan los neutrófilos en pacientes que toman clozapina, pero las enfermedades virales se asocian generalmente con neutropenia.</w:t>
      </w:r>
    </w:p>
    <w:p w14:paraId="43E85D8A" w14:textId="1E6207EF" w:rsidR="00167FF3" w:rsidRPr="00470C7D" w:rsidRDefault="00167FF3" w:rsidP="00470C7D">
      <w:pPr>
        <w:pStyle w:val="Prrafodelista"/>
        <w:numPr>
          <w:ilvl w:val="0"/>
          <w:numId w:val="7"/>
        </w:numPr>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Potencial para toxicidad de clozapina:</w:t>
      </w:r>
    </w:p>
    <w:p w14:paraId="31D70B41" w14:textId="3A868F0E" w:rsidR="00167FF3" w:rsidRPr="00470C7D" w:rsidRDefault="00167FF3" w:rsidP="00470C7D">
      <w:pPr>
        <w:pStyle w:val="Prrafodelista"/>
        <w:kinsoku w:val="0"/>
        <w:overflowPunct w:val="0"/>
        <w:spacing w:line="360" w:lineRule="auto"/>
        <w:jc w:val="both"/>
        <w:textAlignment w:val="baseline"/>
        <w:rPr>
          <w:rFonts w:ascii="Arial" w:hAnsi="Arial" w:cs="Arial"/>
          <w:bCs/>
          <w:sz w:val="24"/>
          <w:szCs w:val="24"/>
        </w:rPr>
      </w:pPr>
      <w:r w:rsidRPr="00470C7D">
        <w:rPr>
          <w:rFonts w:ascii="Arial" w:hAnsi="Arial" w:cs="Arial"/>
          <w:bCs/>
          <w:sz w:val="24"/>
          <w:szCs w:val="24"/>
        </w:rPr>
        <w:t xml:space="preserve">Si un paciente con clozapina, desarrolla fiebre y síntomas tipo resfriado, debido a cualquier infección sistémica aguda, signos y síntomas de toxicidad de clozapina pueden emerger (Ej. Sedación, </w:t>
      </w:r>
      <w:proofErr w:type="spellStart"/>
      <w:r w:rsidRPr="00470C7D">
        <w:rPr>
          <w:rFonts w:ascii="Arial" w:hAnsi="Arial" w:cs="Arial"/>
          <w:bCs/>
          <w:sz w:val="24"/>
          <w:szCs w:val="24"/>
        </w:rPr>
        <w:t>mioclonus</w:t>
      </w:r>
      <w:proofErr w:type="spellEnd"/>
      <w:r w:rsidRPr="00470C7D">
        <w:rPr>
          <w:rFonts w:ascii="Arial" w:hAnsi="Arial" w:cs="Arial"/>
          <w:bCs/>
          <w:sz w:val="24"/>
          <w:szCs w:val="24"/>
        </w:rPr>
        <w:t>). Esto requiere reducción de dosis a mas de la mitad. La dosis inferior debe continuar hasta 3 días después que la fiebre haya cedido</w:t>
      </w:r>
      <w:r w:rsidR="0082167E" w:rsidRPr="00470C7D">
        <w:rPr>
          <w:rFonts w:ascii="Arial" w:hAnsi="Arial" w:cs="Arial"/>
          <w:bCs/>
          <w:sz w:val="24"/>
          <w:szCs w:val="24"/>
        </w:rPr>
        <w:t>, después se puede ir aumentando hasta la dosis previa. Donde sea posible, los niveles de clozapina pueden guiar las decisiones clínicas después de la reducción sustancial de las dosis. Notar que los pacientes con infecciones respiratorias pueden reducir o dejar de fumar, lo cual puede conducir a la toxicidad con clozapina.</w:t>
      </w:r>
    </w:p>
    <w:p w14:paraId="35F37038" w14:textId="77777777" w:rsidR="00FE3C66" w:rsidRPr="00470C7D" w:rsidRDefault="00FE3C66" w:rsidP="00470C7D">
      <w:pPr>
        <w:pStyle w:val="Prrafodelista"/>
        <w:kinsoku w:val="0"/>
        <w:overflowPunct w:val="0"/>
        <w:spacing w:line="360" w:lineRule="auto"/>
        <w:jc w:val="both"/>
        <w:textAlignment w:val="baseline"/>
        <w:rPr>
          <w:rFonts w:ascii="Arial" w:hAnsi="Arial" w:cs="Arial"/>
          <w:bCs/>
          <w:sz w:val="24"/>
          <w:szCs w:val="24"/>
        </w:rPr>
      </w:pPr>
    </w:p>
    <w:p w14:paraId="51591AA4" w14:textId="77777777" w:rsidR="0082167E" w:rsidRPr="00470C7D" w:rsidRDefault="0082167E" w:rsidP="00470C7D">
      <w:pPr>
        <w:pStyle w:val="Prrafodelista"/>
        <w:kinsoku w:val="0"/>
        <w:overflowPunct w:val="0"/>
        <w:spacing w:line="360" w:lineRule="auto"/>
        <w:jc w:val="both"/>
        <w:textAlignment w:val="baseline"/>
        <w:rPr>
          <w:rFonts w:ascii="Arial" w:hAnsi="Arial" w:cs="Arial"/>
          <w:bCs/>
          <w:sz w:val="24"/>
          <w:szCs w:val="24"/>
        </w:rPr>
      </w:pPr>
    </w:p>
    <w:p w14:paraId="6C83C64E" w14:textId="77777777" w:rsidR="00470C7D" w:rsidRDefault="00470C7D" w:rsidP="00470C7D">
      <w:pPr>
        <w:pStyle w:val="Prrafodelista"/>
        <w:kinsoku w:val="0"/>
        <w:overflowPunct w:val="0"/>
        <w:spacing w:line="360" w:lineRule="auto"/>
        <w:jc w:val="both"/>
        <w:textAlignment w:val="baseline"/>
        <w:rPr>
          <w:rFonts w:ascii="Arial" w:hAnsi="Arial" w:cs="Arial"/>
          <w:bCs/>
          <w:sz w:val="24"/>
          <w:szCs w:val="24"/>
        </w:rPr>
      </w:pPr>
    </w:p>
    <w:p w14:paraId="524B77FC" w14:textId="77777777" w:rsidR="00470C7D" w:rsidRDefault="00470C7D" w:rsidP="00470C7D">
      <w:pPr>
        <w:pStyle w:val="Prrafodelista"/>
        <w:kinsoku w:val="0"/>
        <w:overflowPunct w:val="0"/>
        <w:spacing w:line="360" w:lineRule="auto"/>
        <w:jc w:val="both"/>
        <w:textAlignment w:val="baseline"/>
        <w:rPr>
          <w:rFonts w:ascii="Arial" w:hAnsi="Arial" w:cs="Arial"/>
          <w:bCs/>
          <w:sz w:val="24"/>
          <w:szCs w:val="24"/>
        </w:rPr>
      </w:pPr>
    </w:p>
    <w:p w14:paraId="1E782F34" w14:textId="165B940D" w:rsidR="0082167E" w:rsidRPr="00470C7D" w:rsidRDefault="0082167E" w:rsidP="00470C7D">
      <w:pPr>
        <w:pStyle w:val="Prrafodelista"/>
        <w:kinsoku w:val="0"/>
        <w:overflowPunct w:val="0"/>
        <w:spacing w:line="360" w:lineRule="auto"/>
        <w:jc w:val="both"/>
        <w:textAlignment w:val="baseline"/>
        <w:rPr>
          <w:rFonts w:ascii="Arial" w:hAnsi="Arial" w:cs="Arial"/>
          <w:b/>
          <w:sz w:val="24"/>
          <w:szCs w:val="24"/>
        </w:rPr>
      </w:pPr>
      <w:r w:rsidRPr="00470C7D">
        <w:rPr>
          <w:rFonts w:ascii="Arial" w:hAnsi="Arial" w:cs="Arial"/>
          <w:b/>
          <w:sz w:val="24"/>
          <w:szCs w:val="24"/>
        </w:rPr>
        <w:lastRenderedPageBreak/>
        <w:t>Bibliografía</w:t>
      </w:r>
      <w:bookmarkStart w:id="0" w:name="_GoBack"/>
      <w:bookmarkEnd w:id="0"/>
    </w:p>
    <w:p w14:paraId="2CF6A028" w14:textId="77777777" w:rsidR="0082167E" w:rsidRPr="00470C7D" w:rsidRDefault="0082167E" w:rsidP="00470C7D">
      <w:pPr>
        <w:pStyle w:val="Prrafodelista"/>
        <w:kinsoku w:val="0"/>
        <w:overflowPunct w:val="0"/>
        <w:spacing w:line="360" w:lineRule="auto"/>
        <w:jc w:val="both"/>
        <w:textAlignment w:val="baseline"/>
        <w:rPr>
          <w:rFonts w:ascii="Arial" w:hAnsi="Arial" w:cs="Arial"/>
          <w:bCs/>
          <w:sz w:val="24"/>
          <w:szCs w:val="24"/>
        </w:rPr>
      </w:pPr>
    </w:p>
    <w:p w14:paraId="2E9F8950" w14:textId="4AF47166" w:rsidR="0082167E" w:rsidRPr="00470C7D" w:rsidRDefault="0082167E" w:rsidP="00470C7D">
      <w:pPr>
        <w:pStyle w:val="Prrafodelista"/>
        <w:numPr>
          <w:ilvl w:val="0"/>
          <w:numId w:val="10"/>
        </w:numPr>
        <w:spacing w:before="100" w:beforeAutospacing="1" w:after="100" w:afterAutospacing="1" w:line="360" w:lineRule="auto"/>
        <w:jc w:val="both"/>
        <w:outlineLvl w:val="2"/>
        <w:rPr>
          <w:rFonts w:ascii="Arial" w:eastAsia="Times New Roman" w:hAnsi="Arial" w:cs="Times New Roman"/>
          <w:bCs/>
          <w:sz w:val="24"/>
          <w:szCs w:val="27"/>
          <w:lang w:eastAsia="es-ES"/>
        </w:rPr>
      </w:pPr>
      <w:r w:rsidRPr="00470C7D">
        <w:rPr>
          <w:rFonts w:ascii="Arial" w:eastAsia="Times New Roman" w:hAnsi="Arial" w:cs="Times New Roman"/>
          <w:bCs/>
          <w:sz w:val="24"/>
          <w:szCs w:val="27"/>
          <w:lang w:eastAsia="es-ES"/>
        </w:rPr>
        <w:t xml:space="preserve">Oliver </w:t>
      </w:r>
      <w:proofErr w:type="spellStart"/>
      <w:r w:rsidRPr="00470C7D">
        <w:rPr>
          <w:rFonts w:ascii="Arial" w:eastAsia="Times New Roman" w:hAnsi="Arial" w:cs="Times New Roman"/>
          <w:bCs/>
          <w:sz w:val="24"/>
          <w:szCs w:val="27"/>
          <w:lang w:eastAsia="es-ES"/>
        </w:rPr>
        <w:t>Freudenreich</w:t>
      </w:r>
      <w:proofErr w:type="spellEnd"/>
      <w:r w:rsidRPr="00470C7D">
        <w:rPr>
          <w:rFonts w:ascii="Arial" w:eastAsia="Times New Roman" w:hAnsi="Arial" w:cs="Times New Roman"/>
          <w:bCs/>
          <w:sz w:val="24"/>
          <w:szCs w:val="27"/>
          <w:lang w:eastAsia="es-ES"/>
        </w:rPr>
        <w:t xml:space="preserve">, MD.  </w:t>
      </w:r>
      <w:proofErr w:type="spellStart"/>
      <w:r w:rsidRPr="00470C7D">
        <w:rPr>
          <w:rFonts w:ascii="Arial" w:eastAsia="Times New Roman" w:hAnsi="Arial" w:cs="Times New Roman"/>
          <w:sz w:val="24"/>
          <w:szCs w:val="24"/>
          <w:lang w:eastAsia="es-ES"/>
        </w:rPr>
        <w:t>Co-director</w:t>
      </w:r>
      <w:proofErr w:type="spellEnd"/>
      <w:r w:rsidRPr="00470C7D">
        <w:rPr>
          <w:rFonts w:ascii="Arial" w:eastAsia="Times New Roman" w:hAnsi="Arial" w:cs="Times New Roman"/>
          <w:sz w:val="24"/>
          <w:szCs w:val="24"/>
          <w:lang w:eastAsia="es-ES"/>
        </w:rPr>
        <w:t xml:space="preserve">, </w:t>
      </w:r>
      <w:proofErr w:type="spellStart"/>
      <w:r w:rsidRPr="00470C7D">
        <w:rPr>
          <w:rFonts w:ascii="Arial" w:eastAsia="Times New Roman" w:hAnsi="Arial" w:cs="Times New Roman"/>
          <w:sz w:val="24"/>
          <w:szCs w:val="24"/>
          <w:lang w:eastAsia="es-ES"/>
        </w:rPr>
        <w:t>Schizophrenia</w:t>
      </w:r>
      <w:proofErr w:type="spellEnd"/>
      <w:r w:rsidRPr="00470C7D">
        <w:rPr>
          <w:rFonts w:ascii="Arial" w:eastAsia="Times New Roman" w:hAnsi="Arial" w:cs="Times New Roman"/>
          <w:sz w:val="24"/>
          <w:szCs w:val="24"/>
          <w:lang w:eastAsia="es-ES"/>
        </w:rPr>
        <w:t xml:space="preserve"> </w:t>
      </w:r>
      <w:proofErr w:type="spellStart"/>
      <w:r w:rsidRPr="00470C7D">
        <w:rPr>
          <w:rFonts w:ascii="Arial" w:eastAsia="Times New Roman" w:hAnsi="Arial" w:cs="Times New Roman"/>
          <w:sz w:val="24"/>
          <w:szCs w:val="24"/>
          <w:lang w:eastAsia="es-ES"/>
        </w:rPr>
        <w:t>Clinical</w:t>
      </w:r>
      <w:proofErr w:type="spellEnd"/>
      <w:r w:rsidRPr="00470C7D">
        <w:rPr>
          <w:rFonts w:ascii="Arial" w:eastAsia="Times New Roman" w:hAnsi="Arial" w:cs="Times New Roman"/>
          <w:sz w:val="24"/>
          <w:szCs w:val="24"/>
          <w:lang w:eastAsia="es-ES"/>
        </w:rPr>
        <w:t xml:space="preserve"> and </w:t>
      </w:r>
      <w:proofErr w:type="spellStart"/>
      <w:r w:rsidRPr="00470C7D">
        <w:rPr>
          <w:rFonts w:ascii="Arial" w:eastAsia="Times New Roman" w:hAnsi="Arial" w:cs="Times New Roman"/>
          <w:sz w:val="24"/>
          <w:szCs w:val="24"/>
          <w:lang w:eastAsia="es-ES"/>
        </w:rPr>
        <w:t>Research</w:t>
      </w:r>
      <w:proofErr w:type="spellEnd"/>
      <w:r w:rsidRPr="00470C7D">
        <w:rPr>
          <w:rFonts w:ascii="Arial" w:eastAsia="Times New Roman" w:hAnsi="Arial" w:cs="Times New Roman"/>
          <w:sz w:val="24"/>
          <w:szCs w:val="24"/>
          <w:lang w:eastAsia="es-ES"/>
        </w:rPr>
        <w:t xml:space="preserve"> </w:t>
      </w:r>
      <w:proofErr w:type="spellStart"/>
      <w:r w:rsidRPr="00470C7D">
        <w:rPr>
          <w:rFonts w:ascii="Arial" w:eastAsia="Times New Roman" w:hAnsi="Arial" w:cs="Times New Roman"/>
          <w:sz w:val="24"/>
          <w:szCs w:val="24"/>
          <w:lang w:eastAsia="es-ES"/>
        </w:rPr>
        <w:t>Program</w:t>
      </w:r>
      <w:proofErr w:type="spellEnd"/>
      <w:r w:rsidRPr="00470C7D">
        <w:rPr>
          <w:rFonts w:ascii="Arial" w:eastAsia="Times New Roman" w:hAnsi="Arial" w:cs="Times New Roman"/>
          <w:sz w:val="24"/>
          <w:szCs w:val="24"/>
          <w:lang w:eastAsia="es-ES"/>
        </w:rPr>
        <w:t xml:space="preserve">, Massachusetts General Hospital, </w:t>
      </w:r>
      <w:r w:rsidR="00470C7D" w:rsidRPr="00470C7D">
        <w:rPr>
          <w:rFonts w:ascii="Arial" w:eastAsia="Times New Roman" w:hAnsi="Arial" w:cs="Times New Roman"/>
          <w:sz w:val="24"/>
          <w:szCs w:val="24"/>
          <w:lang w:eastAsia="es-ES"/>
        </w:rPr>
        <w:t>director</w:t>
      </w:r>
      <w:r w:rsidRPr="00470C7D">
        <w:rPr>
          <w:rFonts w:ascii="Arial" w:eastAsia="Times New Roman" w:hAnsi="Arial" w:cs="Times New Roman"/>
          <w:sz w:val="24"/>
          <w:szCs w:val="24"/>
          <w:lang w:eastAsia="es-ES"/>
        </w:rPr>
        <w:t xml:space="preserve">, </w:t>
      </w:r>
      <w:proofErr w:type="spellStart"/>
      <w:r w:rsidRPr="00470C7D">
        <w:rPr>
          <w:rFonts w:ascii="Arial" w:eastAsia="Times New Roman" w:hAnsi="Arial" w:cs="Times New Roman"/>
          <w:sz w:val="24"/>
          <w:szCs w:val="24"/>
          <w:lang w:eastAsia="es-ES"/>
        </w:rPr>
        <w:t>Fellowship</w:t>
      </w:r>
      <w:proofErr w:type="spellEnd"/>
      <w:r w:rsidRPr="00470C7D">
        <w:rPr>
          <w:rFonts w:ascii="Arial" w:eastAsia="Times New Roman" w:hAnsi="Arial" w:cs="Times New Roman"/>
          <w:sz w:val="24"/>
          <w:szCs w:val="24"/>
          <w:lang w:eastAsia="es-ES"/>
        </w:rPr>
        <w:t xml:space="preserve"> in </w:t>
      </w:r>
      <w:proofErr w:type="spellStart"/>
      <w:r w:rsidRPr="00470C7D">
        <w:rPr>
          <w:rFonts w:ascii="Arial" w:eastAsia="Times New Roman" w:hAnsi="Arial" w:cs="Times New Roman"/>
          <w:sz w:val="24"/>
          <w:szCs w:val="24"/>
          <w:lang w:eastAsia="es-ES"/>
        </w:rPr>
        <w:t>Public</w:t>
      </w:r>
      <w:proofErr w:type="spellEnd"/>
      <w:r w:rsidRPr="00470C7D">
        <w:rPr>
          <w:rFonts w:ascii="Arial" w:eastAsia="Times New Roman" w:hAnsi="Arial" w:cs="Times New Roman"/>
          <w:sz w:val="24"/>
          <w:szCs w:val="24"/>
          <w:lang w:eastAsia="es-ES"/>
        </w:rPr>
        <w:t xml:space="preserve"> and </w:t>
      </w:r>
      <w:proofErr w:type="spellStart"/>
      <w:r w:rsidRPr="00470C7D">
        <w:rPr>
          <w:rFonts w:ascii="Arial" w:eastAsia="Times New Roman" w:hAnsi="Arial" w:cs="Times New Roman"/>
          <w:sz w:val="24"/>
          <w:szCs w:val="24"/>
          <w:lang w:eastAsia="es-ES"/>
        </w:rPr>
        <w:t>Community</w:t>
      </w:r>
      <w:proofErr w:type="spellEnd"/>
      <w:r w:rsidRPr="00470C7D">
        <w:rPr>
          <w:rFonts w:ascii="Arial" w:eastAsia="Times New Roman" w:hAnsi="Arial" w:cs="Times New Roman"/>
          <w:sz w:val="24"/>
          <w:szCs w:val="24"/>
          <w:lang w:eastAsia="es-ES"/>
        </w:rPr>
        <w:t xml:space="preserve"> </w:t>
      </w:r>
      <w:proofErr w:type="spellStart"/>
      <w:r w:rsidRPr="00470C7D">
        <w:rPr>
          <w:rFonts w:ascii="Arial" w:eastAsia="Times New Roman" w:hAnsi="Arial" w:cs="Times New Roman"/>
          <w:sz w:val="24"/>
          <w:szCs w:val="24"/>
          <w:lang w:eastAsia="es-ES"/>
        </w:rPr>
        <w:t>Psychiatry</w:t>
      </w:r>
      <w:proofErr w:type="spellEnd"/>
      <w:r w:rsidRPr="00470C7D">
        <w:rPr>
          <w:rFonts w:ascii="Arial" w:eastAsia="Times New Roman" w:hAnsi="Arial" w:cs="Times New Roman"/>
          <w:sz w:val="24"/>
          <w:szCs w:val="24"/>
          <w:lang w:eastAsia="es-ES"/>
        </w:rPr>
        <w:t>, Massachusetts General Hospital</w:t>
      </w:r>
      <w:r w:rsidRPr="00470C7D">
        <w:rPr>
          <w:rFonts w:ascii="Arial" w:eastAsia="Times New Roman" w:hAnsi="Arial" w:cs="Times New Roman"/>
          <w:sz w:val="24"/>
          <w:szCs w:val="24"/>
          <w:lang w:eastAsia="es-ES"/>
        </w:rPr>
        <w:t xml:space="preserve">. </w:t>
      </w:r>
      <w:proofErr w:type="spellStart"/>
      <w:r w:rsidRPr="00470C7D">
        <w:rPr>
          <w:rFonts w:ascii="Arial" w:eastAsia="Times New Roman" w:hAnsi="Arial" w:cs="Times New Roman"/>
          <w:bCs/>
          <w:sz w:val="24"/>
          <w:szCs w:val="27"/>
          <w:lang w:eastAsia="es-ES"/>
        </w:rPr>
        <w:t>Journal</w:t>
      </w:r>
      <w:proofErr w:type="spellEnd"/>
      <w:r w:rsidRPr="00470C7D">
        <w:rPr>
          <w:rFonts w:ascii="Arial" w:eastAsia="Times New Roman" w:hAnsi="Arial" w:cs="Times New Roman"/>
          <w:bCs/>
          <w:sz w:val="24"/>
          <w:szCs w:val="27"/>
          <w:lang w:eastAsia="es-ES"/>
        </w:rPr>
        <w:t xml:space="preserve"> </w:t>
      </w:r>
      <w:proofErr w:type="spellStart"/>
      <w:r w:rsidRPr="00470C7D">
        <w:rPr>
          <w:rFonts w:ascii="Arial" w:eastAsia="Times New Roman" w:hAnsi="Arial" w:cs="Times New Roman"/>
          <w:bCs/>
          <w:sz w:val="24"/>
          <w:szCs w:val="27"/>
          <w:lang w:eastAsia="es-ES"/>
        </w:rPr>
        <w:t>of</w:t>
      </w:r>
      <w:proofErr w:type="spellEnd"/>
      <w:r w:rsidRPr="00470C7D">
        <w:rPr>
          <w:rFonts w:ascii="Arial" w:eastAsia="Times New Roman" w:hAnsi="Arial" w:cs="Times New Roman"/>
          <w:bCs/>
          <w:sz w:val="24"/>
          <w:szCs w:val="27"/>
          <w:lang w:eastAsia="es-ES"/>
        </w:rPr>
        <w:t xml:space="preserve"> </w:t>
      </w:r>
      <w:proofErr w:type="spellStart"/>
      <w:r w:rsidRPr="00470C7D">
        <w:rPr>
          <w:rFonts w:ascii="Arial" w:eastAsia="Times New Roman" w:hAnsi="Arial" w:cs="Times New Roman"/>
          <w:bCs/>
          <w:sz w:val="24"/>
          <w:szCs w:val="27"/>
          <w:lang w:eastAsia="es-ES"/>
        </w:rPr>
        <w:t>Psychiatry</w:t>
      </w:r>
      <w:proofErr w:type="spellEnd"/>
      <w:r w:rsidRPr="00470C7D">
        <w:rPr>
          <w:rFonts w:ascii="Arial" w:eastAsia="Times New Roman" w:hAnsi="Arial" w:cs="Times New Roman"/>
          <w:bCs/>
          <w:sz w:val="24"/>
          <w:szCs w:val="27"/>
          <w:lang w:eastAsia="es-ES"/>
        </w:rPr>
        <w:t xml:space="preserve"> and </w:t>
      </w:r>
      <w:proofErr w:type="spellStart"/>
      <w:r w:rsidRPr="00470C7D">
        <w:rPr>
          <w:rFonts w:ascii="Arial" w:eastAsia="Times New Roman" w:hAnsi="Arial" w:cs="Times New Roman"/>
          <w:bCs/>
          <w:sz w:val="24"/>
          <w:szCs w:val="27"/>
          <w:lang w:eastAsia="es-ES"/>
        </w:rPr>
        <w:t>Neuroscience</w:t>
      </w:r>
      <w:proofErr w:type="spellEnd"/>
      <w:r w:rsidRPr="00470C7D">
        <w:rPr>
          <w:rFonts w:ascii="Arial" w:eastAsia="Times New Roman" w:hAnsi="Arial" w:cs="Times New Roman"/>
          <w:bCs/>
          <w:sz w:val="24"/>
          <w:szCs w:val="27"/>
          <w:lang w:eastAsia="es-ES"/>
        </w:rPr>
        <w:t xml:space="preserve">. </w:t>
      </w:r>
      <w:r w:rsidRPr="00470C7D">
        <w:rPr>
          <w:rFonts w:ascii="Arial" w:hAnsi="Arial"/>
          <w:sz w:val="24"/>
        </w:rPr>
        <w:t>April 23, 2020</w:t>
      </w:r>
    </w:p>
    <w:p w14:paraId="7E4E6B9D" w14:textId="2D89E2F5" w:rsidR="0082167E" w:rsidRPr="00470C7D" w:rsidRDefault="0082167E" w:rsidP="00470C7D">
      <w:pPr>
        <w:pStyle w:val="Prrafodelista"/>
        <w:numPr>
          <w:ilvl w:val="0"/>
          <w:numId w:val="10"/>
        </w:numPr>
        <w:spacing w:before="100" w:beforeAutospacing="1" w:after="100" w:afterAutospacing="1" w:line="360" w:lineRule="auto"/>
        <w:jc w:val="both"/>
        <w:outlineLvl w:val="2"/>
        <w:rPr>
          <w:rFonts w:ascii="Arial" w:eastAsia="Times New Roman" w:hAnsi="Arial" w:cs="Times New Roman"/>
          <w:bCs/>
          <w:sz w:val="24"/>
          <w:szCs w:val="27"/>
          <w:lang w:eastAsia="es-ES"/>
        </w:rPr>
      </w:pPr>
      <w:r w:rsidRPr="00470C7D">
        <w:rPr>
          <w:rFonts w:ascii="Arial" w:eastAsia="Times New Roman" w:hAnsi="Arial" w:cs="Times New Roman"/>
          <w:bCs/>
          <w:sz w:val="24"/>
          <w:szCs w:val="27"/>
          <w:lang w:eastAsia="es-ES"/>
        </w:rPr>
        <w:t xml:space="preserve">Stahl, </w:t>
      </w:r>
      <w:proofErr w:type="spellStart"/>
      <w:r w:rsidRPr="00470C7D">
        <w:rPr>
          <w:rFonts w:ascii="Arial" w:eastAsia="Times New Roman" w:hAnsi="Arial" w:cs="Times New Roman"/>
          <w:bCs/>
          <w:sz w:val="24"/>
          <w:szCs w:val="27"/>
          <w:lang w:eastAsia="es-ES"/>
        </w:rPr>
        <w:t>Stephem</w:t>
      </w:r>
      <w:proofErr w:type="spellEnd"/>
      <w:r w:rsidRPr="00470C7D">
        <w:rPr>
          <w:rFonts w:ascii="Arial" w:eastAsia="Times New Roman" w:hAnsi="Arial" w:cs="Times New Roman"/>
          <w:bCs/>
          <w:sz w:val="24"/>
          <w:szCs w:val="27"/>
          <w:lang w:eastAsia="es-ES"/>
        </w:rPr>
        <w:t xml:space="preserve"> M. </w:t>
      </w:r>
      <w:proofErr w:type="spellStart"/>
      <w:r w:rsidRPr="00470C7D">
        <w:rPr>
          <w:rFonts w:ascii="Arial" w:eastAsia="Times New Roman" w:hAnsi="Arial" w:cs="Times New Roman"/>
          <w:bCs/>
          <w:sz w:val="24"/>
          <w:szCs w:val="27"/>
          <w:lang w:eastAsia="es-ES"/>
        </w:rPr>
        <w:t>Essential</w:t>
      </w:r>
      <w:proofErr w:type="spellEnd"/>
      <w:r w:rsidRPr="00470C7D">
        <w:rPr>
          <w:rFonts w:ascii="Arial" w:eastAsia="Times New Roman" w:hAnsi="Arial" w:cs="Times New Roman"/>
          <w:bCs/>
          <w:sz w:val="24"/>
          <w:szCs w:val="27"/>
          <w:lang w:eastAsia="es-ES"/>
        </w:rPr>
        <w:t xml:space="preserve"> </w:t>
      </w:r>
      <w:proofErr w:type="spellStart"/>
      <w:r w:rsidRPr="00470C7D">
        <w:rPr>
          <w:rFonts w:ascii="Arial" w:eastAsia="Times New Roman" w:hAnsi="Arial" w:cs="Times New Roman"/>
          <w:bCs/>
          <w:sz w:val="24"/>
          <w:szCs w:val="27"/>
          <w:lang w:eastAsia="es-ES"/>
        </w:rPr>
        <w:t>Psychopharmacology</w:t>
      </w:r>
      <w:proofErr w:type="spellEnd"/>
      <w:r w:rsidRPr="00470C7D">
        <w:rPr>
          <w:rFonts w:ascii="Arial" w:eastAsia="Times New Roman" w:hAnsi="Arial" w:cs="Times New Roman"/>
          <w:bCs/>
          <w:sz w:val="24"/>
          <w:szCs w:val="27"/>
          <w:lang w:eastAsia="es-ES"/>
        </w:rPr>
        <w:t xml:space="preserve">. </w:t>
      </w:r>
      <w:proofErr w:type="spellStart"/>
      <w:r w:rsidRPr="00470C7D">
        <w:rPr>
          <w:rFonts w:ascii="Arial" w:eastAsia="Times New Roman" w:hAnsi="Arial" w:cs="Times New Roman"/>
          <w:bCs/>
          <w:sz w:val="24"/>
          <w:szCs w:val="27"/>
          <w:lang w:eastAsia="es-ES"/>
        </w:rPr>
        <w:t>Prescriber</w:t>
      </w:r>
      <w:r w:rsidR="00470C7D" w:rsidRPr="00470C7D">
        <w:rPr>
          <w:rFonts w:ascii="Arial" w:eastAsia="Times New Roman" w:hAnsi="Arial" w:cs="Times New Roman"/>
          <w:bCs/>
          <w:sz w:val="24"/>
          <w:szCs w:val="27"/>
          <w:lang w:eastAsia="es-ES"/>
        </w:rPr>
        <w:t>’s</w:t>
      </w:r>
      <w:proofErr w:type="spellEnd"/>
      <w:r w:rsidR="00470C7D" w:rsidRPr="00470C7D">
        <w:rPr>
          <w:rFonts w:ascii="Arial" w:eastAsia="Times New Roman" w:hAnsi="Arial" w:cs="Times New Roman"/>
          <w:bCs/>
          <w:sz w:val="24"/>
          <w:szCs w:val="27"/>
          <w:lang w:eastAsia="es-ES"/>
        </w:rPr>
        <w:t xml:space="preserve"> </w:t>
      </w:r>
      <w:proofErr w:type="spellStart"/>
      <w:r w:rsidR="00470C7D" w:rsidRPr="00470C7D">
        <w:rPr>
          <w:rFonts w:ascii="Arial" w:eastAsia="Times New Roman" w:hAnsi="Arial" w:cs="Times New Roman"/>
          <w:bCs/>
          <w:sz w:val="24"/>
          <w:szCs w:val="27"/>
          <w:lang w:eastAsia="es-ES"/>
        </w:rPr>
        <w:t>Guide</w:t>
      </w:r>
      <w:proofErr w:type="spellEnd"/>
      <w:r w:rsidR="00470C7D" w:rsidRPr="00470C7D">
        <w:rPr>
          <w:rFonts w:ascii="Arial" w:eastAsia="Times New Roman" w:hAnsi="Arial" w:cs="Times New Roman"/>
          <w:bCs/>
          <w:sz w:val="24"/>
          <w:szCs w:val="27"/>
          <w:lang w:eastAsia="es-ES"/>
        </w:rPr>
        <w:t xml:space="preserve">. </w:t>
      </w:r>
      <w:proofErr w:type="spellStart"/>
      <w:r w:rsidR="00470C7D" w:rsidRPr="00470C7D">
        <w:rPr>
          <w:rFonts w:ascii="Arial" w:eastAsia="Times New Roman" w:hAnsi="Arial" w:cs="Times New Roman"/>
          <w:bCs/>
          <w:sz w:val="24"/>
          <w:szCs w:val="27"/>
          <w:lang w:eastAsia="es-ES"/>
        </w:rPr>
        <w:t>Sixth</w:t>
      </w:r>
      <w:proofErr w:type="spellEnd"/>
      <w:r w:rsidR="00470C7D" w:rsidRPr="00470C7D">
        <w:rPr>
          <w:rFonts w:ascii="Arial" w:eastAsia="Times New Roman" w:hAnsi="Arial" w:cs="Times New Roman"/>
          <w:bCs/>
          <w:sz w:val="24"/>
          <w:szCs w:val="27"/>
          <w:lang w:eastAsia="es-ES"/>
        </w:rPr>
        <w:t xml:space="preserve"> </w:t>
      </w:r>
      <w:proofErr w:type="spellStart"/>
      <w:r w:rsidR="00470C7D" w:rsidRPr="00470C7D">
        <w:rPr>
          <w:rFonts w:ascii="Arial" w:eastAsia="Times New Roman" w:hAnsi="Arial" w:cs="Times New Roman"/>
          <w:bCs/>
          <w:sz w:val="24"/>
          <w:szCs w:val="27"/>
          <w:lang w:eastAsia="es-ES"/>
        </w:rPr>
        <w:t>Edition</w:t>
      </w:r>
      <w:proofErr w:type="spellEnd"/>
      <w:r w:rsidR="00470C7D" w:rsidRPr="00470C7D">
        <w:rPr>
          <w:rFonts w:ascii="Arial" w:eastAsia="Times New Roman" w:hAnsi="Arial" w:cs="Times New Roman"/>
          <w:bCs/>
          <w:sz w:val="24"/>
          <w:szCs w:val="27"/>
          <w:lang w:eastAsia="es-ES"/>
        </w:rPr>
        <w:t xml:space="preserve">. Cambridge </w:t>
      </w:r>
      <w:proofErr w:type="spellStart"/>
      <w:r w:rsidR="00470C7D" w:rsidRPr="00470C7D">
        <w:rPr>
          <w:rFonts w:ascii="Arial" w:eastAsia="Times New Roman" w:hAnsi="Arial" w:cs="Times New Roman"/>
          <w:bCs/>
          <w:sz w:val="24"/>
          <w:szCs w:val="27"/>
          <w:lang w:eastAsia="es-ES"/>
        </w:rPr>
        <w:t>University</w:t>
      </w:r>
      <w:proofErr w:type="spellEnd"/>
      <w:r w:rsidR="00470C7D" w:rsidRPr="00470C7D">
        <w:rPr>
          <w:rFonts w:ascii="Arial" w:eastAsia="Times New Roman" w:hAnsi="Arial" w:cs="Times New Roman"/>
          <w:bCs/>
          <w:sz w:val="24"/>
          <w:szCs w:val="27"/>
          <w:lang w:eastAsia="es-ES"/>
        </w:rPr>
        <w:t xml:space="preserve"> </w:t>
      </w:r>
      <w:proofErr w:type="spellStart"/>
      <w:r w:rsidR="00470C7D" w:rsidRPr="00470C7D">
        <w:rPr>
          <w:rFonts w:ascii="Arial" w:eastAsia="Times New Roman" w:hAnsi="Arial" w:cs="Times New Roman"/>
          <w:bCs/>
          <w:sz w:val="24"/>
          <w:szCs w:val="27"/>
          <w:lang w:eastAsia="es-ES"/>
        </w:rPr>
        <w:t>Press</w:t>
      </w:r>
      <w:proofErr w:type="spellEnd"/>
      <w:r w:rsidR="00470C7D" w:rsidRPr="00470C7D">
        <w:rPr>
          <w:rFonts w:ascii="Arial" w:eastAsia="Times New Roman" w:hAnsi="Arial" w:cs="Times New Roman"/>
          <w:bCs/>
          <w:sz w:val="24"/>
          <w:szCs w:val="27"/>
          <w:lang w:eastAsia="es-ES"/>
        </w:rPr>
        <w:t>. 2017</w:t>
      </w:r>
    </w:p>
    <w:p w14:paraId="77D78DD9" w14:textId="39639C0D" w:rsidR="0082167E" w:rsidRPr="0082167E" w:rsidRDefault="0082167E" w:rsidP="00470C7D">
      <w:pPr>
        <w:spacing w:before="100" w:beforeAutospacing="1" w:after="100" w:afterAutospacing="1" w:line="360" w:lineRule="auto"/>
        <w:jc w:val="both"/>
        <w:outlineLvl w:val="2"/>
        <w:rPr>
          <w:rFonts w:ascii="Arial" w:eastAsia="Times New Roman" w:hAnsi="Arial" w:cs="Times New Roman"/>
          <w:bCs/>
          <w:sz w:val="24"/>
          <w:szCs w:val="27"/>
          <w:lang w:eastAsia="es-ES"/>
        </w:rPr>
      </w:pPr>
    </w:p>
    <w:p w14:paraId="3B4C982B" w14:textId="77777777" w:rsidR="0082167E" w:rsidRPr="00470C7D" w:rsidRDefault="0082167E" w:rsidP="00470C7D">
      <w:pPr>
        <w:pStyle w:val="Prrafodelista"/>
        <w:kinsoku w:val="0"/>
        <w:overflowPunct w:val="0"/>
        <w:spacing w:line="360" w:lineRule="auto"/>
        <w:jc w:val="both"/>
        <w:textAlignment w:val="baseline"/>
        <w:rPr>
          <w:rFonts w:ascii="Arial" w:hAnsi="Arial" w:cs="Arial"/>
          <w:bCs/>
          <w:sz w:val="24"/>
          <w:szCs w:val="24"/>
        </w:rPr>
      </w:pPr>
    </w:p>
    <w:sectPr w:rsidR="0082167E" w:rsidRPr="00470C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altName w:val="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01385"/>
    <w:multiLevelType w:val="hybridMultilevel"/>
    <w:tmpl w:val="0E648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6E22F0"/>
    <w:multiLevelType w:val="hybridMultilevel"/>
    <w:tmpl w:val="35E63E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AE714D"/>
    <w:multiLevelType w:val="hybridMultilevel"/>
    <w:tmpl w:val="BB68226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57243D6D"/>
    <w:multiLevelType w:val="hybridMultilevel"/>
    <w:tmpl w:val="88A250C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60CE109B"/>
    <w:multiLevelType w:val="multilevel"/>
    <w:tmpl w:val="6F2E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31002"/>
    <w:multiLevelType w:val="hybridMultilevel"/>
    <w:tmpl w:val="A3F09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E24D44"/>
    <w:multiLevelType w:val="hybridMultilevel"/>
    <w:tmpl w:val="CCB008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A075DAE"/>
    <w:multiLevelType w:val="hybridMultilevel"/>
    <w:tmpl w:val="2C505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505614"/>
    <w:multiLevelType w:val="hybridMultilevel"/>
    <w:tmpl w:val="08FAB2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D794E12"/>
    <w:multiLevelType w:val="multilevel"/>
    <w:tmpl w:val="7BC22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2"/>
  </w:num>
  <w:num w:numId="4">
    <w:abstractNumId w:val="1"/>
  </w:num>
  <w:num w:numId="5">
    <w:abstractNumId w:val="8"/>
  </w:num>
  <w:num w:numId="6">
    <w:abstractNumId w:val="5"/>
  </w:num>
  <w:num w:numId="7">
    <w:abstractNumId w:val="0"/>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8B"/>
    <w:rsid w:val="00167FF3"/>
    <w:rsid w:val="00374110"/>
    <w:rsid w:val="00470C7D"/>
    <w:rsid w:val="005A718B"/>
    <w:rsid w:val="0080131B"/>
    <w:rsid w:val="0082167E"/>
    <w:rsid w:val="00A65B57"/>
    <w:rsid w:val="00BA5E9D"/>
    <w:rsid w:val="00FE3C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638C"/>
  <w15:chartTrackingRefBased/>
  <w15:docId w15:val="{904871B5-BC5E-4AE8-9344-F8C5284B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5A718B"/>
    <w:pPr>
      <w:autoSpaceDE w:val="0"/>
      <w:autoSpaceDN w:val="0"/>
      <w:adjustRightInd w:val="0"/>
      <w:spacing w:after="0" w:line="251" w:lineRule="atLeast"/>
    </w:pPr>
    <w:rPr>
      <w:rFonts w:ascii="Goudy Old Style" w:hAnsi="Goudy Old Style"/>
      <w:sz w:val="24"/>
      <w:szCs w:val="24"/>
    </w:rPr>
  </w:style>
  <w:style w:type="paragraph" w:styleId="Prrafodelista">
    <w:name w:val="List Paragraph"/>
    <w:basedOn w:val="Normal"/>
    <w:uiPriority w:val="34"/>
    <w:qFormat/>
    <w:rsid w:val="005A7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99814">
      <w:bodyDiv w:val="1"/>
      <w:marLeft w:val="0"/>
      <w:marRight w:val="0"/>
      <w:marTop w:val="0"/>
      <w:marBottom w:val="0"/>
      <w:divBdr>
        <w:top w:val="none" w:sz="0" w:space="0" w:color="auto"/>
        <w:left w:val="none" w:sz="0" w:space="0" w:color="auto"/>
        <w:bottom w:val="none" w:sz="0" w:space="0" w:color="auto"/>
        <w:right w:val="none" w:sz="0" w:space="0" w:color="auto"/>
      </w:divBdr>
      <w:divsChild>
        <w:div w:id="325213442">
          <w:marLeft w:val="0"/>
          <w:marRight w:val="0"/>
          <w:marTop w:val="0"/>
          <w:marBottom w:val="0"/>
          <w:divBdr>
            <w:top w:val="none" w:sz="0" w:space="0" w:color="auto"/>
            <w:left w:val="none" w:sz="0" w:space="0" w:color="auto"/>
            <w:bottom w:val="none" w:sz="0" w:space="0" w:color="auto"/>
            <w:right w:val="none" w:sz="0" w:space="0" w:color="auto"/>
          </w:divBdr>
          <w:divsChild>
            <w:div w:id="1320503839">
              <w:marLeft w:val="0"/>
              <w:marRight w:val="0"/>
              <w:marTop w:val="0"/>
              <w:marBottom w:val="0"/>
              <w:divBdr>
                <w:top w:val="none" w:sz="0" w:space="0" w:color="auto"/>
                <w:left w:val="none" w:sz="0" w:space="0" w:color="auto"/>
                <w:bottom w:val="none" w:sz="0" w:space="0" w:color="auto"/>
                <w:right w:val="none" w:sz="0" w:space="0" w:color="auto"/>
              </w:divBdr>
              <w:divsChild>
                <w:div w:id="541526776">
                  <w:marLeft w:val="0"/>
                  <w:marRight w:val="0"/>
                  <w:marTop w:val="0"/>
                  <w:marBottom w:val="0"/>
                  <w:divBdr>
                    <w:top w:val="none" w:sz="0" w:space="0" w:color="auto"/>
                    <w:left w:val="none" w:sz="0" w:space="0" w:color="auto"/>
                    <w:bottom w:val="none" w:sz="0" w:space="0" w:color="auto"/>
                    <w:right w:val="none" w:sz="0" w:space="0" w:color="auto"/>
                  </w:divBdr>
                  <w:divsChild>
                    <w:div w:id="1799831410">
                      <w:marLeft w:val="0"/>
                      <w:marRight w:val="0"/>
                      <w:marTop w:val="0"/>
                      <w:marBottom w:val="0"/>
                      <w:divBdr>
                        <w:top w:val="none" w:sz="0" w:space="0" w:color="auto"/>
                        <w:left w:val="none" w:sz="0" w:space="0" w:color="auto"/>
                        <w:bottom w:val="none" w:sz="0" w:space="0" w:color="auto"/>
                        <w:right w:val="none" w:sz="0" w:space="0" w:color="auto"/>
                      </w:divBdr>
                      <w:divsChild>
                        <w:div w:id="1892573697">
                          <w:marLeft w:val="0"/>
                          <w:marRight w:val="0"/>
                          <w:marTop w:val="0"/>
                          <w:marBottom w:val="0"/>
                          <w:divBdr>
                            <w:top w:val="none" w:sz="0" w:space="0" w:color="auto"/>
                            <w:left w:val="none" w:sz="0" w:space="0" w:color="auto"/>
                            <w:bottom w:val="none" w:sz="0" w:space="0" w:color="auto"/>
                            <w:right w:val="none" w:sz="0" w:space="0" w:color="auto"/>
                          </w:divBdr>
                          <w:divsChild>
                            <w:div w:id="8148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786</Words>
  <Characters>4328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2020-04-25T17:23:00Z</dcterms:created>
  <dcterms:modified xsi:type="dcterms:W3CDTF">2020-04-25T17:23:00Z</dcterms:modified>
</cp:coreProperties>
</file>