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336C5" w14:textId="12A99368" w:rsidR="00BF6152" w:rsidRPr="00BF6152" w:rsidRDefault="00BF6152" w:rsidP="00BA2809">
      <w:pPr>
        <w:spacing w:line="360" w:lineRule="auto"/>
        <w:jc w:val="both"/>
        <w:rPr>
          <w:rFonts w:ascii="Arial" w:hAnsi="Arial"/>
          <w:b/>
          <w:sz w:val="24"/>
        </w:rPr>
      </w:pPr>
      <w:r w:rsidRPr="00BA2809">
        <w:rPr>
          <w:rFonts w:ascii="Arial" w:hAnsi="Arial"/>
          <w:b/>
          <w:sz w:val="24"/>
        </w:rPr>
        <w:t xml:space="preserve">¿Por qué debemos garantizar el tratamiento con </w:t>
      </w:r>
      <w:bookmarkStart w:id="0" w:name="_GoBack"/>
      <w:r w:rsidRPr="00BA2809">
        <w:rPr>
          <w:rFonts w:ascii="Arial" w:hAnsi="Arial"/>
          <w:b/>
          <w:sz w:val="24"/>
        </w:rPr>
        <w:t xml:space="preserve">Antipsicóticos de </w:t>
      </w:r>
      <w:r w:rsidR="001062B4" w:rsidRPr="00BA2809">
        <w:rPr>
          <w:rFonts w:ascii="Arial" w:hAnsi="Arial"/>
          <w:b/>
          <w:sz w:val="24"/>
        </w:rPr>
        <w:t>Depósito</w:t>
      </w:r>
      <w:bookmarkEnd w:id="0"/>
      <w:r w:rsidR="001062B4" w:rsidRPr="00BA2809">
        <w:rPr>
          <w:rFonts w:ascii="Arial" w:hAnsi="Arial"/>
          <w:b/>
          <w:sz w:val="24"/>
        </w:rPr>
        <w:t xml:space="preserve"> en</w:t>
      </w:r>
      <w:r w:rsidRPr="00BF6152">
        <w:rPr>
          <w:rFonts w:ascii="Arial" w:hAnsi="Arial"/>
          <w:b/>
          <w:sz w:val="24"/>
        </w:rPr>
        <w:t xml:space="preserve"> el contexto de Covid-19?</w:t>
      </w:r>
    </w:p>
    <w:p w14:paraId="45E90965" w14:textId="77777777" w:rsidR="00BF6152" w:rsidRPr="00BF6152" w:rsidRDefault="00BF6152" w:rsidP="00BA2809">
      <w:pPr>
        <w:spacing w:line="360" w:lineRule="auto"/>
        <w:jc w:val="both"/>
        <w:rPr>
          <w:rFonts w:ascii="Arial" w:hAnsi="Arial"/>
          <w:b/>
          <w:sz w:val="24"/>
        </w:rPr>
      </w:pPr>
      <w:r w:rsidRPr="00BF6152">
        <w:rPr>
          <w:rFonts w:ascii="Arial" w:hAnsi="Arial"/>
          <w:b/>
          <w:sz w:val="24"/>
        </w:rPr>
        <w:t xml:space="preserve">Autor: </w:t>
      </w:r>
    </w:p>
    <w:p w14:paraId="181A3BC4" w14:textId="77777777" w:rsidR="00BF6152" w:rsidRPr="00BF6152" w:rsidRDefault="00BF6152" w:rsidP="00BA2809">
      <w:pPr>
        <w:spacing w:line="360" w:lineRule="auto"/>
        <w:jc w:val="both"/>
        <w:rPr>
          <w:rFonts w:ascii="Arial" w:hAnsi="Arial"/>
          <w:b/>
          <w:sz w:val="24"/>
        </w:rPr>
      </w:pPr>
      <w:r w:rsidRPr="00BF6152">
        <w:rPr>
          <w:rFonts w:ascii="Arial" w:hAnsi="Arial"/>
          <w:b/>
          <w:sz w:val="24"/>
        </w:rPr>
        <w:t>Dr. C Antonio J. Caballero Moreno</w:t>
      </w:r>
    </w:p>
    <w:p w14:paraId="41737A09" w14:textId="77777777" w:rsidR="00BF6152" w:rsidRPr="00BF6152" w:rsidRDefault="00BF6152" w:rsidP="00BA2809">
      <w:pPr>
        <w:spacing w:line="360" w:lineRule="auto"/>
        <w:jc w:val="both"/>
        <w:rPr>
          <w:rFonts w:ascii="Arial" w:hAnsi="Arial"/>
          <w:b/>
          <w:sz w:val="24"/>
        </w:rPr>
      </w:pPr>
      <w:r w:rsidRPr="00BF6152">
        <w:rPr>
          <w:rFonts w:ascii="Arial" w:hAnsi="Arial"/>
          <w:b/>
          <w:sz w:val="24"/>
        </w:rPr>
        <w:t>Profesor e Investigador Titular</w:t>
      </w:r>
    </w:p>
    <w:p w14:paraId="061D8F14" w14:textId="77777777" w:rsidR="00BF6152" w:rsidRPr="00BF6152" w:rsidRDefault="00BF6152" w:rsidP="00BA2809">
      <w:pPr>
        <w:spacing w:line="360" w:lineRule="auto"/>
        <w:jc w:val="both"/>
        <w:rPr>
          <w:rFonts w:ascii="Arial" w:hAnsi="Arial"/>
          <w:b/>
          <w:sz w:val="24"/>
        </w:rPr>
      </w:pPr>
      <w:r w:rsidRPr="00BF6152">
        <w:rPr>
          <w:rFonts w:ascii="Arial" w:hAnsi="Arial"/>
          <w:b/>
          <w:sz w:val="24"/>
        </w:rPr>
        <w:t>Grupo Nacional de Psiquiatría</w:t>
      </w:r>
    </w:p>
    <w:p w14:paraId="3706A3A5" w14:textId="25BC8939" w:rsidR="00BF6152" w:rsidRPr="00BA2809" w:rsidRDefault="00BF6152" w:rsidP="00BA2809">
      <w:pPr>
        <w:spacing w:line="360" w:lineRule="auto"/>
        <w:jc w:val="both"/>
        <w:rPr>
          <w:rFonts w:ascii="Arial" w:hAnsi="Arial"/>
          <w:b/>
          <w:sz w:val="24"/>
        </w:rPr>
      </w:pPr>
      <w:r w:rsidRPr="00BF6152">
        <w:rPr>
          <w:rFonts w:ascii="Arial" w:hAnsi="Arial"/>
          <w:b/>
          <w:sz w:val="24"/>
        </w:rPr>
        <w:t>Sección de Neurociencias SCP</w:t>
      </w:r>
    </w:p>
    <w:p w14:paraId="36A217E8" w14:textId="77777777" w:rsidR="00DF644B" w:rsidRPr="00BA2809" w:rsidRDefault="00DF644B" w:rsidP="00BA2809">
      <w:pPr>
        <w:spacing w:line="360" w:lineRule="auto"/>
        <w:jc w:val="both"/>
        <w:rPr>
          <w:rFonts w:ascii="Arial" w:hAnsi="Arial"/>
          <w:b/>
          <w:sz w:val="24"/>
        </w:rPr>
      </w:pPr>
    </w:p>
    <w:p w14:paraId="69A98EEB" w14:textId="34944183" w:rsidR="00DF644B" w:rsidRPr="00DF644B" w:rsidRDefault="00DF644B" w:rsidP="00BA2809">
      <w:pPr>
        <w:spacing w:line="360" w:lineRule="auto"/>
        <w:jc w:val="both"/>
        <w:rPr>
          <w:rFonts w:ascii="Arial" w:hAnsi="Arial"/>
          <w:b/>
          <w:sz w:val="24"/>
        </w:rPr>
      </w:pPr>
      <w:r w:rsidRPr="00BA2809">
        <w:rPr>
          <w:rFonts w:ascii="Arial" w:hAnsi="Arial"/>
          <w:b/>
          <w:sz w:val="24"/>
        </w:rPr>
        <w:t>Consecuencias de la no adherencia a los regímenes de tratamiento en las enfermedades mentales graves:</w:t>
      </w:r>
    </w:p>
    <w:p w14:paraId="28DCBDD7" w14:textId="77777777" w:rsidR="00DF644B" w:rsidRPr="00DF644B" w:rsidRDefault="00DF644B" w:rsidP="00BA2809">
      <w:pPr>
        <w:spacing w:before="134" w:after="0" w:line="360" w:lineRule="auto"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DF644B">
        <w:rPr>
          <w:rFonts w:ascii="Arial" w:eastAsiaTheme="minorEastAsia" w:hAnsi="Arial"/>
          <w:color w:val="000000" w:themeColor="text1"/>
          <w:kern w:val="24"/>
          <w:sz w:val="24"/>
          <w:szCs w:val="56"/>
          <w:lang w:eastAsia="es-ES"/>
        </w:rPr>
        <w:t>Aumenta la posibilidad de exacerbación de la enfermedad.</w:t>
      </w:r>
    </w:p>
    <w:p w14:paraId="376BAD3C" w14:textId="77777777" w:rsidR="00DF644B" w:rsidRPr="00DF644B" w:rsidRDefault="00DF644B" w:rsidP="00BA2809">
      <w:pPr>
        <w:spacing w:before="134" w:after="0" w:line="360" w:lineRule="auto"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DF644B">
        <w:rPr>
          <w:rFonts w:ascii="Arial" w:eastAsiaTheme="minorEastAsia" w:hAnsi="Arial"/>
          <w:color w:val="000000" w:themeColor="text1"/>
          <w:kern w:val="24"/>
          <w:sz w:val="24"/>
          <w:szCs w:val="56"/>
          <w:lang w:eastAsia="es-ES"/>
        </w:rPr>
        <w:t>Daña la recuperación.</w:t>
      </w:r>
    </w:p>
    <w:p w14:paraId="38E19F41" w14:textId="77777777" w:rsidR="00DF644B" w:rsidRPr="00DF644B" w:rsidRDefault="00DF644B" w:rsidP="00BA2809">
      <w:pPr>
        <w:spacing w:before="134" w:after="0" w:line="360" w:lineRule="auto"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DF644B">
        <w:rPr>
          <w:rFonts w:ascii="Arial" w:eastAsiaTheme="minorEastAsia" w:hAnsi="Arial"/>
          <w:color w:val="000000" w:themeColor="text1"/>
          <w:kern w:val="24"/>
          <w:sz w:val="24"/>
          <w:szCs w:val="56"/>
          <w:lang w:eastAsia="es-ES"/>
        </w:rPr>
        <w:t>Asociada con progresión de la enfermedad.</w:t>
      </w:r>
    </w:p>
    <w:p w14:paraId="42A74CE4" w14:textId="77777777" w:rsidR="00DF644B" w:rsidRPr="00DF644B" w:rsidRDefault="00DF644B" w:rsidP="00BA2809">
      <w:pPr>
        <w:spacing w:before="134" w:after="0" w:line="360" w:lineRule="auto"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DF644B">
        <w:rPr>
          <w:rFonts w:ascii="Arial" w:eastAsiaTheme="minorEastAsia" w:hAnsi="Arial"/>
          <w:color w:val="000000" w:themeColor="text1"/>
          <w:kern w:val="24"/>
          <w:sz w:val="24"/>
          <w:szCs w:val="56"/>
          <w:lang w:eastAsia="es-ES"/>
        </w:rPr>
        <w:t>Daña la recuperación funcional.</w:t>
      </w:r>
    </w:p>
    <w:p w14:paraId="273D9D39" w14:textId="0204E781" w:rsidR="00DF644B" w:rsidRPr="00DF644B" w:rsidRDefault="00DF644B" w:rsidP="00BA2809">
      <w:pPr>
        <w:spacing w:before="134" w:after="0" w:line="360" w:lineRule="auto"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DF644B">
        <w:rPr>
          <w:rFonts w:ascii="Arial" w:eastAsiaTheme="minorEastAsia" w:hAnsi="Arial"/>
          <w:color w:val="000000" w:themeColor="text1"/>
          <w:kern w:val="24"/>
          <w:sz w:val="24"/>
          <w:szCs w:val="56"/>
          <w:lang w:eastAsia="es-ES"/>
        </w:rPr>
        <w:t xml:space="preserve">Los costos del tratamiento son </w:t>
      </w:r>
      <w:r w:rsidRPr="00BA2809">
        <w:rPr>
          <w:rFonts w:ascii="Arial" w:eastAsiaTheme="minorEastAsia" w:hAnsi="Arial"/>
          <w:color w:val="000000" w:themeColor="text1"/>
          <w:kern w:val="24"/>
          <w:sz w:val="24"/>
          <w:szCs w:val="56"/>
          <w:lang w:eastAsia="es-ES"/>
        </w:rPr>
        <w:t>más</w:t>
      </w:r>
      <w:r w:rsidRPr="00DF644B">
        <w:rPr>
          <w:rFonts w:ascii="Arial" w:eastAsiaTheme="minorEastAsia" w:hAnsi="Arial"/>
          <w:color w:val="000000" w:themeColor="text1"/>
          <w:kern w:val="24"/>
          <w:sz w:val="24"/>
          <w:szCs w:val="56"/>
          <w:lang w:eastAsia="es-ES"/>
        </w:rPr>
        <w:t xml:space="preserve"> altos.</w:t>
      </w:r>
    </w:p>
    <w:p w14:paraId="01C557BF" w14:textId="1131DE83" w:rsidR="00DF644B" w:rsidRPr="00BA2809" w:rsidRDefault="00DF644B" w:rsidP="00BA2809">
      <w:pPr>
        <w:numPr>
          <w:ilvl w:val="0"/>
          <w:numId w:val="3"/>
        </w:numPr>
        <w:spacing w:after="0" w:line="360" w:lineRule="auto"/>
        <w:ind w:left="1267"/>
        <w:contextualSpacing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DF644B">
        <w:rPr>
          <w:rFonts w:ascii="Arial" w:eastAsiaTheme="minorEastAsia" w:hAnsi="Arial"/>
          <w:color w:val="000000" w:themeColor="text1"/>
          <w:kern w:val="24"/>
          <w:sz w:val="24"/>
          <w:szCs w:val="56"/>
          <w:lang w:eastAsia="es-ES"/>
        </w:rPr>
        <w:t>Mala adherencia conduce a un aumento de 3 veces en riesgo de recaída y la prevención de la recaída es CRITICA.</w:t>
      </w:r>
    </w:p>
    <w:p w14:paraId="4132063C" w14:textId="3725F095" w:rsidR="00DF644B" w:rsidRPr="00BA2809" w:rsidRDefault="00DF644B" w:rsidP="00BA2809">
      <w:pPr>
        <w:spacing w:after="0" w:line="360" w:lineRule="auto"/>
        <w:contextualSpacing/>
        <w:jc w:val="both"/>
        <w:textAlignment w:val="baseline"/>
        <w:rPr>
          <w:rFonts w:ascii="Arial" w:eastAsiaTheme="minorEastAsia" w:hAnsi="Arial"/>
          <w:color w:val="000000" w:themeColor="text1"/>
          <w:kern w:val="24"/>
          <w:sz w:val="24"/>
          <w:szCs w:val="56"/>
          <w:lang w:eastAsia="es-ES"/>
        </w:rPr>
      </w:pPr>
    </w:p>
    <w:p w14:paraId="458B543A" w14:textId="2F2C9AA6" w:rsidR="00DF644B" w:rsidRPr="00BA2809" w:rsidRDefault="00DF644B" w:rsidP="00BA2809">
      <w:pPr>
        <w:spacing w:after="0" w:line="360" w:lineRule="auto"/>
        <w:contextualSpacing/>
        <w:jc w:val="both"/>
        <w:textAlignment w:val="baseline"/>
        <w:rPr>
          <w:rFonts w:ascii="Arial" w:eastAsiaTheme="minorEastAsia" w:hAnsi="Arial"/>
          <w:b/>
          <w:color w:val="000000" w:themeColor="text1"/>
          <w:kern w:val="24"/>
          <w:sz w:val="24"/>
          <w:szCs w:val="56"/>
          <w:lang w:eastAsia="es-ES"/>
        </w:rPr>
      </w:pPr>
      <w:r w:rsidRPr="00BA2809">
        <w:rPr>
          <w:rFonts w:ascii="Arial" w:eastAsiaTheme="minorEastAsia" w:hAnsi="Arial"/>
          <w:b/>
          <w:color w:val="000000" w:themeColor="text1"/>
          <w:kern w:val="24"/>
          <w:sz w:val="24"/>
          <w:szCs w:val="56"/>
          <w:lang w:eastAsia="es-ES"/>
        </w:rPr>
        <w:t>Métodos para mejorar la Adherencia:</w:t>
      </w:r>
    </w:p>
    <w:p w14:paraId="7CE4E2D8" w14:textId="77777777" w:rsidR="00DF644B" w:rsidRPr="00BA2809" w:rsidRDefault="00DF644B" w:rsidP="00BA2809">
      <w:pPr>
        <w:spacing w:after="0" w:line="360" w:lineRule="auto"/>
        <w:contextualSpacing/>
        <w:jc w:val="both"/>
        <w:textAlignment w:val="baseline"/>
        <w:rPr>
          <w:rFonts w:ascii="Arial" w:eastAsiaTheme="minorEastAsia" w:hAnsi="Arial"/>
          <w:color w:val="000000" w:themeColor="text1"/>
          <w:kern w:val="24"/>
          <w:sz w:val="24"/>
          <w:szCs w:val="56"/>
          <w:lang w:eastAsia="es-ES"/>
        </w:rPr>
      </w:pPr>
    </w:p>
    <w:p w14:paraId="4908F394" w14:textId="77777777" w:rsidR="00DF644B" w:rsidRPr="00DF644B" w:rsidRDefault="00DF644B" w:rsidP="00BA2809">
      <w:pPr>
        <w:numPr>
          <w:ilvl w:val="0"/>
          <w:numId w:val="4"/>
        </w:numPr>
        <w:spacing w:after="0" w:line="360" w:lineRule="auto"/>
        <w:ind w:left="1267"/>
        <w:contextualSpacing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DF644B">
        <w:rPr>
          <w:rFonts w:ascii="Arial" w:eastAsiaTheme="minorEastAsia" w:hAnsi="Arial"/>
          <w:color w:val="000000" w:themeColor="text1"/>
          <w:kern w:val="24"/>
          <w:sz w:val="24"/>
          <w:szCs w:val="56"/>
          <w:lang w:eastAsia="es-ES"/>
        </w:rPr>
        <w:t>Entrenamiento en adherencia (Ej. Entrevista motivacional, TCC).</w:t>
      </w:r>
    </w:p>
    <w:p w14:paraId="77755844" w14:textId="77777777" w:rsidR="00DF644B" w:rsidRPr="00DF644B" w:rsidRDefault="00DF644B" w:rsidP="00BA2809">
      <w:pPr>
        <w:numPr>
          <w:ilvl w:val="0"/>
          <w:numId w:val="4"/>
        </w:numPr>
        <w:spacing w:after="0" w:line="360" w:lineRule="auto"/>
        <w:ind w:left="1267"/>
        <w:contextualSpacing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DF644B">
        <w:rPr>
          <w:rFonts w:ascii="Arial" w:eastAsiaTheme="minorEastAsia" w:hAnsi="Arial"/>
          <w:color w:val="000000" w:themeColor="text1"/>
          <w:kern w:val="24"/>
          <w:sz w:val="24"/>
          <w:szCs w:val="56"/>
          <w:lang w:eastAsia="es-ES"/>
        </w:rPr>
        <w:t>Recuerdos a mano</w:t>
      </w:r>
    </w:p>
    <w:p w14:paraId="6BC8314C" w14:textId="77777777" w:rsidR="00DF644B" w:rsidRPr="00DF644B" w:rsidRDefault="00DF644B" w:rsidP="00BA2809">
      <w:pPr>
        <w:numPr>
          <w:ilvl w:val="0"/>
          <w:numId w:val="4"/>
        </w:numPr>
        <w:spacing w:after="0" w:line="360" w:lineRule="auto"/>
        <w:ind w:left="1264" w:hanging="357"/>
        <w:contextualSpacing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DF644B">
        <w:rPr>
          <w:rFonts w:ascii="Arial" w:eastAsiaTheme="minorEastAsia" w:hAnsi="Arial"/>
          <w:color w:val="000000" w:themeColor="text1"/>
          <w:kern w:val="24"/>
          <w:sz w:val="24"/>
          <w:szCs w:val="56"/>
          <w:lang w:eastAsia="es-ES"/>
        </w:rPr>
        <w:t>Diseño conductual específico de paciente.</w:t>
      </w:r>
    </w:p>
    <w:p w14:paraId="7A180F8A" w14:textId="37F7B2D4" w:rsidR="00DF644B" w:rsidRPr="00DF644B" w:rsidRDefault="00DF644B" w:rsidP="00BA2809">
      <w:pPr>
        <w:numPr>
          <w:ilvl w:val="0"/>
          <w:numId w:val="4"/>
        </w:numPr>
        <w:spacing w:after="0" w:line="360" w:lineRule="auto"/>
        <w:ind w:left="1264" w:hanging="357"/>
        <w:contextualSpacing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BA2809">
        <w:rPr>
          <w:rFonts w:ascii="Arial" w:eastAsiaTheme="minorEastAsia" w:hAnsi="Arial"/>
          <w:color w:val="000000" w:themeColor="text1"/>
          <w:kern w:val="24"/>
          <w:sz w:val="24"/>
          <w:szCs w:val="56"/>
          <w:lang w:eastAsia="es-ES"/>
        </w:rPr>
        <w:t>Señales, recordatorios</w:t>
      </w:r>
      <w:r w:rsidRPr="00DF644B">
        <w:rPr>
          <w:rFonts w:ascii="Arial" w:eastAsiaTheme="minorEastAsia" w:hAnsi="Arial"/>
          <w:color w:val="000000" w:themeColor="text1"/>
          <w:kern w:val="24"/>
          <w:sz w:val="24"/>
          <w:szCs w:val="56"/>
          <w:lang w:eastAsia="es-ES"/>
        </w:rPr>
        <w:t>.</w:t>
      </w:r>
    </w:p>
    <w:p w14:paraId="081926BC" w14:textId="77777777" w:rsidR="00DF644B" w:rsidRPr="00DF644B" w:rsidRDefault="00DF644B" w:rsidP="00BA2809">
      <w:pPr>
        <w:numPr>
          <w:ilvl w:val="0"/>
          <w:numId w:val="4"/>
        </w:numPr>
        <w:spacing w:after="0" w:line="360" w:lineRule="auto"/>
        <w:ind w:left="1264" w:hanging="357"/>
        <w:contextualSpacing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DF644B">
        <w:rPr>
          <w:rFonts w:ascii="Arial" w:eastAsiaTheme="minorEastAsia" w:hAnsi="Arial"/>
          <w:color w:val="000000" w:themeColor="text1"/>
          <w:kern w:val="24"/>
          <w:sz w:val="24"/>
          <w:szCs w:val="56"/>
          <w:lang w:eastAsia="es-ES"/>
        </w:rPr>
        <w:t>Regímenes de simplificación de tratamiento.</w:t>
      </w:r>
    </w:p>
    <w:p w14:paraId="47EFA8AD" w14:textId="77777777" w:rsidR="00DF644B" w:rsidRPr="00DF644B" w:rsidRDefault="00DF644B" w:rsidP="00BA2809">
      <w:pPr>
        <w:numPr>
          <w:ilvl w:val="0"/>
          <w:numId w:val="4"/>
        </w:numPr>
        <w:spacing w:after="0" w:line="360" w:lineRule="auto"/>
        <w:ind w:left="1264" w:hanging="357"/>
        <w:contextualSpacing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DF644B">
        <w:rPr>
          <w:rFonts w:ascii="Arial" w:eastAsiaTheme="minorEastAsia" w:hAnsi="Arial"/>
          <w:color w:val="000000" w:themeColor="text1"/>
          <w:kern w:val="24"/>
          <w:sz w:val="24"/>
          <w:szCs w:val="56"/>
          <w:lang w:eastAsia="es-ES"/>
        </w:rPr>
        <w:t>Estimular la aceptación de enfermedad.</w:t>
      </w:r>
    </w:p>
    <w:p w14:paraId="5026DF65" w14:textId="77777777" w:rsidR="00DF644B" w:rsidRPr="00DF644B" w:rsidRDefault="00DF644B" w:rsidP="00BA2809">
      <w:pPr>
        <w:numPr>
          <w:ilvl w:val="0"/>
          <w:numId w:val="4"/>
        </w:numPr>
        <w:spacing w:after="0" w:line="360" w:lineRule="auto"/>
        <w:ind w:left="1264" w:hanging="357"/>
        <w:contextualSpacing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DF644B">
        <w:rPr>
          <w:rFonts w:ascii="Arial" w:eastAsiaTheme="minorEastAsia" w:hAnsi="Arial"/>
          <w:color w:val="000000" w:themeColor="text1"/>
          <w:kern w:val="24"/>
          <w:sz w:val="24"/>
          <w:szCs w:val="56"/>
          <w:lang w:eastAsia="es-ES"/>
        </w:rPr>
        <w:t>Psicoeducación paciente/familia.</w:t>
      </w:r>
    </w:p>
    <w:p w14:paraId="7E550AC4" w14:textId="37B483A8" w:rsidR="00DF644B" w:rsidRPr="00DF644B" w:rsidRDefault="00DF644B" w:rsidP="00BA2809">
      <w:pPr>
        <w:numPr>
          <w:ilvl w:val="0"/>
          <w:numId w:val="4"/>
        </w:numPr>
        <w:spacing w:after="0" w:line="360" w:lineRule="auto"/>
        <w:ind w:left="1264" w:hanging="357"/>
        <w:contextualSpacing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DF644B">
        <w:rPr>
          <w:rFonts w:ascii="Arial" w:eastAsiaTheme="minorEastAsia" w:hAnsi="Arial"/>
          <w:color w:val="000000" w:themeColor="text1"/>
          <w:kern w:val="24"/>
          <w:sz w:val="24"/>
          <w:szCs w:val="56"/>
          <w:lang w:eastAsia="es-ES"/>
        </w:rPr>
        <w:t xml:space="preserve">Formulaciones </w:t>
      </w:r>
      <w:r w:rsidRPr="00BA2809">
        <w:rPr>
          <w:rFonts w:ascii="Arial" w:eastAsiaTheme="minorEastAsia" w:hAnsi="Arial"/>
          <w:color w:val="000000" w:themeColor="text1"/>
          <w:kern w:val="24"/>
          <w:sz w:val="24"/>
          <w:szCs w:val="56"/>
          <w:lang w:eastAsia="es-ES"/>
        </w:rPr>
        <w:t>de Antipsicóticos de Larga Duración (o de Depósito).</w:t>
      </w:r>
    </w:p>
    <w:p w14:paraId="53BDB098" w14:textId="77777777" w:rsidR="00DF644B" w:rsidRPr="00DF644B" w:rsidRDefault="00DF644B" w:rsidP="00BA2809">
      <w:pPr>
        <w:spacing w:after="0" w:line="360" w:lineRule="auto"/>
        <w:contextualSpacing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es-ES"/>
        </w:rPr>
      </w:pPr>
    </w:p>
    <w:p w14:paraId="1852B33F" w14:textId="77777777" w:rsidR="00DF644B" w:rsidRPr="00BA2809" w:rsidRDefault="00DF644B" w:rsidP="00BA2809">
      <w:pPr>
        <w:spacing w:line="360" w:lineRule="auto"/>
        <w:jc w:val="both"/>
        <w:rPr>
          <w:rFonts w:ascii="Arial" w:hAnsi="Arial"/>
          <w:bCs/>
          <w:sz w:val="24"/>
        </w:rPr>
      </w:pPr>
    </w:p>
    <w:p w14:paraId="5FA55B79" w14:textId="77777777" w:rsidR="00DF644B" w:rsidRPr="00BA2809" w:rsidRDefault="00DF644B" w:rsidP="00BA2809">
      <w:pPr>
        <w:spacing w:line="360" w:lineRule="auto"/>
        <w:jc w:val="both"/>
        <w:rPr>
          <w:rFonts w:ascii="Arial" w:hAnsi="Arial"/>
          <w:bCs/>
          <w:sz w:val="24"/>
        </w:rPr>
      </w:pPr>
    </w:p>
    <w:p w14:paraId="365A50E6" w14:textId="77777777" w:rsidR="001062B4" w:rsidRPr="00BA2809" w:rsidRDefault="001062B4" w:rsidP="00BA2809">
      <w:pPr>
        <w:spacing w:line="360" w:lineRule="auto"/>
        <w:jc w:val="both"/>
        <w:rPr>
          <w:rFonts w:ascii="Arial" w:hAnsi="Arial"/>
          <w:bCs/>
          <w:sz w:val="24"/>
        </w:rPr>
      </w:pPr>
    </w:p>
    <w:p w14:paraId="30AFF9AE" w14:textId="2E8A3C80" w:rsidR="001062B4" w:rsidRPr="00BA2809" w:rsidRDefault="001062B4" w:rsidP="00BA2809">
      <w:pPr>
        <w:spacing w:line="360" w:lineRule="auto"/>
        <w:jc w:val="both"/>
        <w:rPr>
          <w:rFonts w:ascii="Arial" w:hAnsi="Arial"/>
          <w:b/>
          <w:sz w:val="24"/>
        </w:rPr>
      </w:pPr>
      <w:r w:rsidRPr="00BA2809">
        <w:rPr>
          <w:rFonts w:ascii="Arial" w:hAnsi="Arial"/>
          <w:b/>
          <w:sz w:val="24"/>
        </w:rPr>
        <w:t>Beneficios de los Antipsicóticos de Larga Duración (Depósito)</w:t>
      </w:r>
    </w:p>
    <w:p w14:paraId="0EFEE073" w14:textId="77777777" w:rsidR="001062B4" w:rsidRPr="00BA2809" w:rsidRDefault="001062B4" w:rsidP="00BA2809">
      <w:pPr>
        <w:pStyle w:val="Prrafodelista"/>
        <w:numPr>
          <w:ilvl w:val="0"/>
          <w:numId w:val="1"/>
        </w:numPr>
        <w:spacing w:line="360" w:lineRule="auto"/>
        <w:jc w:val="both"/>
        <w:textAlignment w:val="baseline"/>
        <w:rPr>
          <w:rFonts w:ascii="Arial" w:hAnsi="Arial"/>
        </w:rPr>
      </w:pPr>
      <w:r w:rsidRPr="00BA2809">
        <w:rPr>
          <w:rFonts w:ascii="Arial" w:eastAsiaTheme="minorEastAsia" w:hAnsi="Arial" w:cstheme="minorBidi"/>
          <w:bCs/>
          <w:szCs w:val="38"/>
        </w:rPr>
        <w:t>Aseguran la liberación del medicamento y cobertura antipsicótica continua.</w:t>
      </w:r>
    </w:p>
    <w:p w14:paraId="62F5631B" w14:textId="77777777" w:rsidR="001062B4" w:rsidRPr="00BA2809" w:rsidRDefault="001062B4" w:rsidP="00BA2809">
      <w:pPr>
        <w:pStyle w:val="Prrafodelista"/>
        <w:numPr>
          <w:ilvl w:val="0"/>
          <w:numId w:val="1"/>
        </w:numPr>
        <w:spacing w:line="360" w:lineRule="auto"/>
        <w:jc w:val="both"/>
        <w:textAlignment w:val="baseline"/>
        <w:rPr>
          <w:rFonts w:ascii="Arial" w:hAnsi="Arial"/>
        </w:rPr>
      </w:pPr>
      <w:r w:rsidRPr="00BA2809">
        <w:rPr>
          <w:rFonts w:ascii="Arial" w:eastAsiaTheme="minorEastAsia" w:hAnsi="Arial" w:cstheme="minorBidi"/>
          <w:bCs/>
          <w:szCs w:val="38"/>
        </w:rPr>
        <w:t xml:space="preserve"> No necesidad de recordar que tome la medicación cada día.</w:t>
      </w:r>
    </w:p>
    <w:p w14:paraId="7AE80003" w14:textId="77777777" w:rsidR="001062B4" w:rsidRPr="00BA2809" w:rsidRDefault="001062B4" w:rsidP="00BA2809">
      <w:pPr>
        <w:pStyle w:val="Prrafodelista"/>
        <w:numPr>
          <w:ilvl w:val="0"/>
          <w:numId w:val="1"/>
        </w:numPr>
        <w:spacing w:line="360" w:lineRule="auto"/>
        <w:jc w:val="both"/>
        <w:textAlignment w:val="baseline"/>
        <w:rPr>
          <w:rFonts w:ascii="Arial" w:hAnsi="Arial"/>
        </w:rPr>
      </w:pPr>
      <w:r w:rsidRPr="00BA2809">
        <w:rPr>
          <w:rFonts w:ascii="Arial" w:eastAsiaTheme="minorEastAsia" w:hAnsi="Arial" w:cstheme="minorBidi"/>
          <w:bCs/>
          <w:szCs w:val="38"/>
        </w:rPr>
        <w:t xml:space="preserve"> Contactos más frecuentes entre el paciente y el equipo de tratamiento.</w:t>
      </w:r>
    </w:p>
    <w:p w14:paraId="315560F0" w14:textId="77777777" w:rsidR="001062B4" w:rsidRPr="00BA2809" w:rsidRDefault="001062B4" w:rsidP="00BA2809">
      <w:pPr>
        <w:pStyle w:val="Prrafodelista"/>
        <w:numPr>
          <w:ilvl w:val="0"/>
          <w:numId w:val="1"/>
        </w:numPr>
        <w:spacing w:line="360" w:lineRule="auto"/>
        <w:jc w:val="both"/>
        <w:textAlignment w:val="baseline"/>
        <w:rPr>
          <w:rFonts w:ascii="Arial" w:hAnsi="Arial"/>
        </w:rPr>
      </w:pPr>
      <w:r w:rsidRPr="00BA2809">
        <w:rPr>
          <w:rFonts w:ascii="Arial" w:eastAsiaTheme="minorEastAsia" w:hAnsi="Arial" w:cstheme="minorBidi"/>
          <w:bCs/>
          <w:szCs w:val="38"/>
        </w:rPr>
        <w:t xml:space="preserve"> El clínico puede ser inmediatamente notificado de no adherencia.</w:t>
      </w:r>
    </w:p>
    <w:p w14:paraId="337495C1" w14:textId="77777777" w:rsidR="001062B4" w:rsidRPr="00BA2809" w:rsidRDefault="001062B4" w:rsidP="00BA2809">
      <w:pPr>
        <w:pStyle w:val="Prrafodelista"/>
        <w:numPr>
          <w:ilvl w:val="0"/>
          <w:numId w:val="1"/>
        </w:numPr>
        <w:spacing w:line="360" w:lineRule="auto"/>
        <w:jc w:val="both"/>
        <w:textAlignment w:val="baseline"/>
        <w:rPr>
          <w:rFonts w:ascii="Arial" w:hAnsi="Arial"/>
        </w:rPr>
      </w:pPr>
      <w:r w:rsidRPr="00BA2809">
        <w:rPr>
          <w:rFonts w:ascii="Arial" w:eastAsiaTheme="minorEastAsia" w:hAnsi="Arial" w:cstheme="minorBidi"/>
          <w:bCs/>
          <w:szCs w:val="38"/>
        </w:rPr>
        <w:t xml:space="preserve"> La droga permanece en el sistema por 1-2 semanas después de una dosis perdida.</w:t>
      </w:r>
    </w:p>
    <w:p w14:paraId="1AA1DA4B" w14:textId="2251CE95" w:rsidR="001062B4" w:rsidRPr="00BA2809" w:rsidRDefault="001062B4" w:rsidP="00BA2809">
      <w:pPr>
        <w:pStyle w:val="Prrafodelista"/>
        <w:numPr>
          <w:ilvl w:val="0"/>
          <w:numId w:val="1"/>
        </w:numPr>
        <w:spacing w:line="360" w:lineRule="auto"/>
        <w:jc w:val="both"/>
        <w:textAlignment w:val="baseline"/>
        <w:rPr>
          <w:rFonts w:ascii="Arial" w:hAnsi="Arial"/>
        </w:rPr>
      </w:pPr>
      <w:r w:rsidRPr="00BA2809">
        <w:rPr>
          <w:rFonts w:ascii="Arial" w:eastAsiaTheme="minorEastAsia" w:hAnsi="Arial" w:cstheme="minorBidi"/>
          <w:bCs/>
          <w:szCs w:val="38"/>
        </w:rPr>
        <w:t xml:space="preserve"> Frecuencia de recaída y tasas de Re hospitalización reducida.</w:t>
      </w:r>
    </w:p>
    <w:p w14:paraId="4E40262B" w14:textId="77777777" w:rsidR="001062B4" w:rsidRPr="00BA2809" w:rsidRDefault="001062B4" w:rsidP="00BA2809">
      <w:pPr>
        <w:pStyle w:val="Prrafodelista"/>
        <w:numPr>
          <w:ilvl w:val="0"/>
          <w:numId w:val="1"/>
        </w:numPr>
        <w:spacing w:line="360" w:lineRule="auto"/>
        <w:jc w:val="both"/>
        <w:textAlignment w:val="baseline"/>
        <w:rPr>
          <w:rFonts w:ascii="Arial" w:hAnsi="Arial"/>
        </w:rPr>
      </w:pPr>
      <w:r w:rsidRPr="00BA2809">
        <w:rPr>
          <w:rFonts w:ascii="Arial" w:eastAsiaTheme="minorEastAsia" w:hAnsi="Arial" w:cstheme="minorBidi"/>
          <w:bCs/>
          <w:szCs w:val="38"/>
        </w:rPr>
        <w:t>Evitación del metabolismo de primer paso, por lo que hay una mejor relación entre la dosis y los niveles sanguíneos de la droga.</w:t>
      </w:r>
    </w:p>
    <w:p w14:paraId="0E051EEF" w14:textId="77777777" w:rsidR="001062B4" w:rsidRPr="00BA2809" w:rsidRDefault="001062B4" w:rsidP="00BA2809">
      <w:pPr>
        <w:pStyle w:val="Prrafodelista"/>
        <w:numPr>
          <w:ilvl w:val="0"/>
          <w:numId w:val="1"/>
        </w:numPr>
        <w:spacing w:line="360" w:lineRule="auto"/>
        <w:jc w:val="both"/>
        <w:textAlignment w:val="baseline"/>
        <w:rPr>
          <w:rFonts w:ascii="Arial" w:hAnsi="Arial"/>
        </w:rPr>
      </w:pPr>
      <w:r w:rsidRPr="00BA2809">
        <w:rPr>
          <w:rFonts w:ascii="Arial" w:eastAsiaTheme="minorEastAsia" w:hAnsi="Arial" w:cstheme="minorBidi"/>
          <w:bCs/>
          <w:szCs w:val="38"/>
        </w:rPr>
        <w:t>Menores picos de niveles plasmáticos pueden estar asociados con efectos colaterales reducidos.</w:t>
      </w:r>
    </w:p>
    <w:p w14:paraId="75806C18" w14:textId="77777777" w:rsidR="001062B4" w:rsidRPr="00BA2809" w:rsidRDefault="001062B4" w:rsidP="00BA2809">
      <w:pPr>
        <w:pStyle w:val="Prrafodelista"/>
        <w:numPr>
          <w:ilvl w:val="0"/>
          <w:numId w:val="1"/>
        </w:numPr>
        <w:spacing w:line="360" w:lineRule="auto"/>
        <w:jc w:val="both"/>
        <w:textAlignment w:val="baseline"/>
        <w:rPr>
          <w:rFonts w:ascii="Arial" w:hAnsi="Arial"/>
        </w:rPr>
      </w:pPr>
      <w:r w:rsidRPr="00BA2809">
        <w:rPr>
          <w:rFonts w:ascii="Arial" w:eastAsiaTheme="minorEastAsia" w:hAnsi="Arial" w:cstheme="minorBidi"/>
          <w:bCs/>
          <w:szCs w:val="38"/>
        </w:rPr>
        <w:t xml:space="preserve">Los picos de niveles plasmáticos ocurren menos frecuentemente, lo que puede conducir a efectos adversos reducidos. </w:t>
      </w:r>
    </w:p>
    <w:p w14:paraId="083FB699" w14:textId="77777777" w:rsidR="001062B4" w:rsidRPr="00BA2809" w:rsidRDefault="001062B4" w:rsidP="00BA2809">
      <w:pPr>
        <w:spacing w:line="360" w:lineRule="auto"/>
        <w:jc w:val="both"/>
        <w:rPr>
          <w:rFonts w:ascii="Arial" w:hAnsi="Arial"/>
          <w:bCs/>
          <w:sz w:val="24"/>
        </w:rPr>
      </w:pPr>
    </w:p>
    <w:p w14:paraId="16E771AA" w14:textId="77777777" w:rsidR="00BF6152" w:rsidRPr="00BF6152" w:rsidRDefault="00BF6152" w:rsidP="00BA2809">
      <w:pPr>
        <w:spacing w:line="360" w:lineRule="auto"/>
        <w:jc w:val="both"/>
        <w:rPr>
          <w:rFonts w:ascii="Arial" w:hAnsi="Arial"/>
          <w:bCs/>
          <w:sz w:val="24"/>
        </w:rPr>
      </w:pPr>
    </w:p>
    <w:p w14:paraId="14C0BF52" w14:textId="311589E8" w:rsidR="00BF6152" w:rsidRPr="00BA2809" w:rsidRDefault="00BF6152" w:rsidP="00BA2809">
      <w:p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b/>
          <w:color w:val="000000" w:themeColor="text1"/>
          <w:kern w:val="24"/>
          <w:sz w:val="24"/>
          <w:szCs w:val="24"/>
          <w:lang w:val="es-ES_tradnl"/>
        </w:rPr>
      </w:pPr>
      <w:r w:rsidRPr="00BF6152">
        <w:rPr>
          <w:rFonts w:ascii="Arial" w:eastAsiaTheme="minorEastAsia" w:hAnsi="Arial" w:cs="Arial"/>
          <w:b/>
          <w:kern w:val="24"/>
          <w:sz w:val="24"/>
          <w:szCs w:val="24"/>
          <w:lang w:val="es-ES_tradnl"/>
        </w:rPr>
        <w:t>Contexto del COVID-1</w:t>
      </w:r>
      <w:r w:rsidRPr="00BF6152">
        <w:rPr>
          <w:rFonts w:ascii="Arial" w:eastAsiaTheme="minorEastAsia" w:hAnsi="Arial" w:cs="Arial"/>
          <w:b/>
          <w:color w:val="000000" w:themeColor="text1"/>
          <w:kern w:val="24"/>
          <w:sz w:val="24"/>
          <w:szCs w:val="24"/>
          <w:lang w:val="es-ES_tradnl"/>
        </w:rPr>
        <w:t>9</w:t>
      </w:r>
    </w:p>
    <w:p w14:paraId="04B5A7C9" w14:textId="5E6D081E" w:rsidR="00DF644B" w:rsidRPr="00BA2809" w:rsidRDefault="00DF644B" w:rsidP="00BA2809">
      <w:p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</w:pPr>
      <w:r w:rsidRPr="00BA2809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>En la actual pandemia de Covid-19, se ha reportado que la administración de Antipsicóticos de depósito, ha sido suspendida en algunas áreas debido a que es considerada un tratamiento electivo. Sin embargo, el rol de los antipsicóticos de depósito es un tratamiento clínicamente necesario y debe ser continuado para pacientes con enfermedad mental crónica.</w:t>
      </w:r>
    </w:p>
    <w:p w14:paraId="17DD4649" w14:textId="7A7AF582" w:rsidR="00AA32E5" w:rsidRPr="00BA2809" w:rsidRDefault="00AA32E5" w:rsidP="00BA2809">
      <w:p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</w:pPr>
      <w:r w:rsidRPr="00BA2809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 xml:space="preserve">Aunque reconocemos que hay algunos pacientes para los cuales es </w:t>
      </w:r>
      <w:r w:rsidR="00BA2809" w:rsidRPr="00BA2809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>clínicamente</w:t>
      </w:r>
      <w:r w:rsidRPr="00BA2809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 xml:space="preserve"> prudente cambiar a medicación oral, hay otros (la mayoría) para los cuales un cambio podrías desestabilizarlos. Los individuos con enfermedad mental grave están mucho mas en riesgo de morbilidad y mortalidad; la retirada </w:t>
      </w:r>
      <w:r w:rsidRPr="00BA2809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lastRenderedPageBreak/>
        <w:t>de este tratamiento podría aumentar su riesgo de descompensación física y psiquiátrica.</w:t>
      </w:r>
    </w:p>
    <w:p w14:paraId="2FC7488C" w14:textId="202DAE7D" w:rsidR="00AA32E5" w:rsidRPr="00BA2809" w:rsidRDefault="00AA32E5" w:rsidP="00BA2809">
      <w:pPr>
        <w:pStyle w:val="Default"/>
        <w:spacing w:line="360" w:lineRule="auto"/>
        <w:jc w:val="both"/>
        <w:rPr>
          <w:rFonts w:ascii="Arial" w:hAnsi="Arial"/>
        </w:rPr>
      </w:pPr>
      <w:r w:rsidRPr="00BA2809">
        <w:rPr>
          <w:rFonts w:ascii="Arial" w:hAnsi="Arial"/>
        </w:rPr>
        <w:t>En el contexto de una pandemia, estos riesgos son significativamente elevados debido a la reducción en los apoyos naturales, reducido acceso a los servicios psiquiátricos y de farmacia y el riesgo de exposición al coronavirus con contactos aumentados en la comunidad, sistema de salud, y sistema de justicia criminal.</w:t>
      </w:r>
    </w:p>
    <w:p w14:paraId="520AAB77" w14:textId="77777777" w:rsidR="00BA2809" w:rsidRPr="00BA2809" w:rsidRDefault="00BA2809" w:rsidP="00BA2809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p w14:paraId="4178601D" w14:textId="1E377EDD" w:rsidR="00BF6152" w:rsidRPr="00BF6152" w:rsidRDefault="00BF6152" w:rsidP="00BA2809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BF6152">
        <w:rPr>
          <w:rFonts w:ascii="Arial" w:hAnsi="Arial" w:cs="Arial"/>
          <w:b/>
          <w:sz w:val="24"/>
          <w:szCs w:val="24"/>
        </w:rPr>
        <w:t>Estrategias de Enfrentamiento:</w:t>
      </w:r>
    </w:p>
    <w:p w14:paraId="37FDAB2B" w14:textId="77777777" w:rsidR="00BA2809" w:rsidRPr="00BA2809" w:rsidRDefault="00BA2809" w:rsidP="00BA2809">
      <w:pPr>
        <w:pStyle w:val="Default"/>
        <w:spacing w:line="360" w:lineRule="auto"/>
        <w:jc w:val="both"/>
        <w:rPr>
          <w:rFonts w:ascii="Arial" w:hAnsi="Arial"/>
          <w:b/>
          <w:bCs/>
        </w:rPr>
      </w:pPr>
      <w:r w:rsidRPr="00BA2809">
        <w:rPr>
          <w:rFonts w:ascii="Arial" w:hAnsi="Arial"/>
          <w:b/>
          <w:bCs/>
        </w:rPr>
        <w:t xml:space="preserve">Para muchos de estos enfermos severos y crónicos, el uso de estos medicamentos de larga duración puede reducir el sufrimiento personal y el distrés especialmente en una pandemia; en otros también reducirá las conductas desorganizadas o impulsivas que los pueden poner en riesgo de daño físico, agresión, utilización de urgencias o encarcelamiento. </w:t>
      </w:r>
    </w:p>
    <w:p w14:paraId="199C5A0E" w14:textId="20900210" w:rsidR="00BA2809" w:rsidRPr="00BA2809" w:rsidRDefault="00BA2809" w:rsidP="00BA2809">
      <w:pPr>
        <w:pStyle w:val="Default"/>
        <w:spacing w:line="360" w:lineRule="auto"/>
        <w:jc w:val="both"/>
        <w:rPr>
          <w:rFonts w:ascii="Arial" w:hAnsi="Arial"/>
          <w:b/>
          <w:bCs/>
        </w:rPr>
      </w:pPr>
      <w:r w:rsidRPr="00BA2809">
        <w:rPr>
          <w:rFonts w:ascii="Arial" w:hAnsi="Arial"/>
          <w:b/>
          <w:bCs/>
        </w:rPr>
        <w:t>Los Antipsicóticos de larga duración también pueden ayudar a asegurar adecuados niveles de funcionamiento y procesamiento cognitivo los cual ayuda a estos pacientes a poder realizar el distanciamiento social durante la pandemia.</w:t>
      </w:r>
    </w:p>
    <w:p w14:paraId="4FABE100" w14:textId="16D283D5" w:rsidR="00BA2809" w:rsidRPr="00BA2809" w:rsidRDefault="00BA2809" w:rsidP="00BA2809">
      <w:pPr>
        <w:pStyle w:val="Default"/>
        <w:spacing w:line="360" w:lineRule="auto"/>
        <w:jc w:val="both"/>
        <w:rPr>
          <w:rFonts w:ascii="Arial" w:hAnsi="Arial"/>
          <w:b/>
          <w:bCs/>
        </w:rPr>
      </w:pPr>
      <w:r w:rsidRPr="00BA2809">
        <w:rPr>
          <w:rFonts w:ascii="Arial" w:hAnsi="Arial"/>
          <w:b/>
          <w:bCs/>
        </w:rPr>
        <w:t>Sin duda, los tratamientos con antipsicóticos de larga duración también protegen al proveedor de salud mental y al paciente al facilitar por ejemplo la consulta telefónica y la asistencia al DSM a ponerse el medicamento, con la adecuada protección para el personal de enfermería.</w:t>
      </w:r>
    </w:p>
    <w:p w14:paraId="25184717" w14:textId="2F6C067D" w:rsidR="00BA2809" w:rsidRPr="00BA2809" w:rsidRDefault="00BA2809" w:rsidP="00BA2809">
      <w:pPr>
        <w:pStyle w:val="Default"/>
        <w:spacing w:line="360" w:lineRule="auto"/>
        <w:jc w:val="both"/>
        <w:rPr>
          <w:rFonts w:ascii="Arial" w:hAnsi="Arial"/>
        </w:rPr>
      </w:pPr>
    </w:p>
    <w:p w14:paraId="5E41A7AD" w14:textId="49ECF1A4" w:rsidR="00BA2809" w:rsidRPr="00BA2809" w:rsidRDefault="00BA2809" w:rsidP="00BA2809">
      <w:pPr>
        <w:pStyle w:val="Default"/>
        <w:spacing w:line="360" w:lineRule="auto"/>
        <w:jc w:val="both"/>
        <w:rPr>
          <w:rFonts w:ascii="Arial" w:hAnsi="Arial"/>
          <w:b/>
          <w:bCs/>
        </w:rPr>
      </w:pPr>
      <w:r w:rsidRPr="00BA2809">
        <w:rPr>
          <w:rFonts w:ascii="Arial" w:hAnsi="Arial"/>
          <w:b/>
          <w:bCs/>
        </w:rPr>
        <w:t>Bibliografía</w:t>
      </w:r>
    </w:p>
    <w:p w14:paraId="21FF0D00" w14:textId="77777777" w:rsidR="00BA2809" w:rsidRPr="00BA2809" w:rsidRDefault="00BA2809" w:rsidP="00BA2809">
      <w:pPr>
        <w:pStyle w:val="Default"/>
        <w:spacing w:line="360" w:lineRule="auto"/>
        <w:jc w:val="both"/>
        <w:rPr>
          <w:rFonts w:ascii="Arial" w:hAnsi="Arial"/>
        </w:rPr>
      </w:pPr>
    </w:p>
    <w:p w14:paraId="78CAB2E8" w14:textId="1BFBCF28" w:rsidR="00BA2809" w:rsidRPr="00BA2809" w:rsidRDefault="00BA2809" w:rsidP="00BA2809">
      <w:pPr>
        <w:pStyle w:val="Default"/>
        <w:spacing w:line="360" w:lineRule="auto"/>
        <w:jc w:val="both"/>
        <w:rPr>
          <w:rFonts w:ascii="Arial" w:hAnsi="Arial"/>
        </w:rPr>
      </w:pPr>
      <w:r w:rsidRPr="00BA2809">
        <w:rPr>
          <w:rFonts w:ascii="Arial" w:hAnsi="Arial"/>
          <w:szCs w:val="22"/>
        </w:rPr>
        <w:t xml:space="preserve"> North Carolina </w:t>
      </w:r>
      <w:proofErr w:type="spellStart"/>
      <w:r w:rsidRPr="00BA2809">
        <w:rPr>
          <w:rFonts w:ascii="Arial" w:hAnsi="Arial"/>
          <w:szCs w:val="22"/>
        </w:rPr>
        <w:t>Psychiatric</w:t>
      </w:r>
      <w:proofErr w:type="spellEnd"/>
      <w:r w:rsidRPr="00BA2809">
        <w:rPr>
          <w:rFonts w:ascii="Arial" w:hAnsi="Arial"/>
          <w:szCs w:val="22"/>
        </w:rPr>
        <w:t xml:space="preserve"> </w:t>
      </w:r>
      <w:proofErr w:type="spellStart"/>
      <w:r w:rsidRPr="00BA2809">
        <w:rPr>
          <w:rFonts w:ascii="Arial" w:hAnsi="Arial"/>
          <w:szCs w:val="22"/>
        </w:rPr>
        <w:t>Association</w:t>
      </w:r>
      <w:proofErr w:type="spellEnd"/>
      <w:r w:rsidRPr="00BA2809">
        <w:rPr>
          <w:rFonts w:ascii="Arial" w:hAnsi="Arial"/>
          <w:szCs w:val="22"/>
        </w:rPr>
        <w:t xml:space="preserve">. Position </w:t>
      </w:r>
      <w:proofErr w:type="spellStart"/>
      <w:r w:rsidRPr="00BA2809">
        <w:rPr>
          <w:rFonts w:ascii="Arial" w:hAnsi="Arial"/>
          <w:szCs w:val="22"/>
        </w:rPr>
        <w:t>Statement</w:t>
      </w:r>
      <w:proofErr w:type="spellEnd"/>
      <w:r w:rsidRPr="00BA2809">
        <w:rPr>
          <w:rFonts w:ascii="Arial" w:hAnsi="Arial"/>
          <w:szCs w:val="22"/>
        </w:rPr>
        <w:t xml:space="preserve"> </w:t>
      </w:r>
      <w:proofErr w:type="spellStart"/>
      <w:r w:rsidRPr="00BA2809">
        <w:rPr>
          <w:rFonts w:ascii="Arial" w:hAnsi="Arial"/>
          <w:szCs w:val="22"/>
        </w:rPr>
        <w:t>on</w:t>
      </w:r>
      <w:proofErr w:type="spellEnd"/>
      <w:r w:rsidRPr="00BA2809">
        <w:rPr>
          <w:rFonts w:ascii="Arial" w:hAnsi="Arial"/>
          <w:szCs w:val="22"/>
        </w:rPr>
        <w:t xml:space="preserve"> Long </w:t>
      </w:r>
      <w:proofErr w:type="spellStart"/>
      <w:r w:rsidRPr="00BA2809">
        <w:rPr>
          <w:rFonts w:ascii="Arial" w:hAnsi="Arial"/>
          <w:szCs w:val="22"/>
        </w:rPr>
        <w:t>Acting</w:t>
      </w:r>
      <w:proofErr w:type="spellEnd"/>
      <w:r w:rsidRPr="00BA2809">
        <w:rPr>
          <w:rFonts w:ascii="Arial" w:hAnsi="Arial"/>
          <w:szCs w:val="22"/>
        </w:rPr>
        <w:t xml:space="preserve"> </w:t>
      </w:r>
      <w:proofErr w:type="spellStart"/>
      <w:r w:rsidRPr="00BA2809">
        <w:rPr>
          <w:rFonts w:ascii="Arial" w:hAnsi="Arial"/>
          <w:szCs w:val="22"/>
        </w:rPr>
        <w:t>Injectables</w:t>
      </w:r>
      <w:proofErr w:type="spellEnd"/>
      <w:r w:rsidRPr="00BA2809">
        <w:rPr>
          <w:rFonts w:ascii="Arial" w:hAnsi="Arial"/>
          <w:szCs w:val="22"/>
        </w:rPr>
        <w:t>, March 2020.</w:t>
      </w:r>
    </w:p>
    <w:p w14:paraId="45D87D53" w14:textId="77777777" w:rsidR="00BA2809" w:rsidRPr="00BA2809" w:rsidRDefault="00BA2809" w:rsidP="00BA2809">
      <w:pPr>
        <w:pStyle w:val="Default"/>
        <w:spacing w:line="360" w:lineRule="auto"/>
        <w:jc w:val="both"/>
        <w:rPr>
          <w:rFonts w:ascii="Arial" w:hAnsi="Arial"/>
        </w:rPr>
      </w:pPr>
    </w:p>
    <w:p w14:paraId="48A5D22A" w14:textId="77777777" w:rsidR="00374110" w:rsidRPr="00BA2809" w:rsidRDefault="00374110" w:rsidP="00BA2809">
      <w:pPr>
        <w:spacing w:line="360" w:lineRule="auto"/>
        <w:jc w:val="both"/>
        <w:rPr>
          <w:rFonts w:ascii="Arial" w:hAnsi="Arial"/>
          <w:sz w:val="24"/>
        </w:rPr>
      </w:pPr>
    </w:p>
    <w:sectPr w:rsidR="00374110" w:rsidRPr="00BA28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B67F6"/>
    <w:multiLevelType w:val="hybridMultilevel"/>
    <w:tmpl w:val="2D544C4C"/>
    <w:lvl w:ilvl="0" w:tplc="7B888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B88D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06D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DE9E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9A4D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3A1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0C6E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8877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E29F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7AC21D1"/>
    <w:multiLevelType w:val="hybridMultilevel"/>
    <w:tmpl w:val="07DE3934"/>
    <w:lvl w:ilvl="0" w:tplc="D9C619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FA9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427A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9632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A291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D03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8CC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7CB2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0C6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8365DFA"/>
    <w:multiLevelType w:val="hybridMultilevel"/>
    <w:tmpl w:val="25660574"/>
    <w:lvl w:ilvl="0" w:tplc="8C6EBE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22DB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2E90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4AAE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5A1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4AD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ECF9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60AA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7241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FAA14B0"/>
    <w:multiLevelType w:val="hybridMultilevel"/>
    <w:tmpl w:val="D1A07EBE"/>
    <w:lvl w:ilvl="0" w:tplc="D034F5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1635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08D6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C86C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C619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D041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7A8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BC4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02DF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152"/>
    <w:rsid w:val="001062B4"/>
    <w:rsid w:val="002A7B88"/>
    <w:rsid w:val="00374110"/>
    <w:rsid w:val="004A03CC"/>
    <w:rsid w:val="00812331"/>
    <w:rsid w:val="009845B8"/>
    <w:rsid w:val="00AA32E5"/>
    <w:rsid w:val="00BA2809"/>
    <w:rsid w:val="00BF6152"/>
    <w:rsid w:val="00D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4CF01"/>
  <w15:chartTrackingRefBased/>
  <w15:docId w15:val="{0EA3E4E7-8C54-429C-8F0B-D94438D0F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62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DF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DF64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8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477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49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275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373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155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40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700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59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671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952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81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41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20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99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3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07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67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16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23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Dr.Caballero</dc:creator>
  <cp:keywords/>
  <dc:description/>
  <cp:lastModifiedBy>Administrador</cp:lastModifiedBy>
  <cp:revision>2</cp:revision>
  <dcterms:created xsi:type="dcterms:W3CDTF">2020-05-20T13:31:00Z</dcterms:created>
  <dcterms:modified xsi:type="dcterms:W3CDTF">2020-05-20T13:31:00Z</dcterms:modified>
</cp:coreProperties>
</file>