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ED" w:rsidRDefault="00C03CED" w:rsidP="00C03C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Maestría en Investigación en Ciencias Biomédicas</w:t>
      </w:r>
    </w:p>
    <w:p w:rsidR="00C03CED" w:rsidRDefault="00C03CED" w:rsidP="00C03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CED" w:rsidRPr="00C03CED" w:rsidRDefault="00C03CED" w:rsidP="00C03C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3CED">
        <w:rPr>
          <w:rFonts w:ascii="Arial" w:hAnsi="Arial" w:cs="Arial"/>
          <w:b/>
          <w:sz w:val="24"/>
          <w:szCs w:val="24"/>
        </w:rPr>
        <w:t>Formación en investigación en Ciencias Biomédicas</w:t>
      </w:r>
    </w:p>
    <w:p w:rsidR="00C03CED" w:rsidRDefault="00C03CED" w:rsidP="00C03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CED" w:rsidRPr="002E1541" w:rsidRDefault="00C03CED" w:rsidP="00FC503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E1541">
        <w:rPr>
          <w:rFonts w:ascii="Arial" w:hAnsi="Arial" w:cs="Arial"/>
          <w:sz w:val="24"/>
          <w:szCs w:val="24"/>
        </w:rPr>
        <w:t xml:space="preserve">Los conocimientos, habilidades, destrezas, valores y actitudes, </w:t>
      </w:r>
      <w:r>
        <w:rPr>
          <w:rFonts w:ascii="Arial" w:hAnsi="Arial" w:cs="Arial"/>
          <w:sz w:val="24"/>
          <w:szCs w:val="24"/>
        </w:rPr>
        <w:t xml:space="preserve">necesarias para considerarse investigador </w:t>
      </w:r>
      <w:r w:rsidRPr="002E1541">
        <w:rPr>
          <w:rFonts w:ascii="Arial" w:hAnsi="Arial" w:cs="Arial"/>
          <w:sz w:val="24"/>
          <w:szCs w:val="24"/>
        </w:rPr>
        <w:t xml:space="preserve">se adquieren a través de los cursos del Programa y las investigaciones que se realicen dentro de las líneas que se proponen en </w:t>
      </w:r>
      <w:r>
        <w:rPr>
          <w:rFonts w:ascii="Arial" w:hAnsi="Arial" w:cs="Arial"/>
          <w:sz w:val="24"/>
          <w:szCs w:val="24"/>
        </w:rPr>
        <w:t>el mismo.</w:t>
      </w:r>
    </w:p>
    <w:p w:rsidR="00976434" w:rsidRDefault="00FC503A" w:rsidP="00FC5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programa de mae</w:t>
      </w:r>
      <w:r w:rsidRPr="002E1541">
        <w:rPr>
          <w:rFonts w:ascii="Arial" w:hAnsi="Arial" w:cs="Arial"/>
          <w:sz w:val="24"/>
          <w:szCs w:val="24"/>
        </w:rPr>
        <w:t>stría se fundamenta</w:t>
      </w:r>
      <w:r>
        <w:rPr>
          <w:rFonts w:ascii="Arial" w:hAnsi="Arial" w:cs="Arial"/>
          <w:sz w:val="24"/>
          <w:szCs w:val="24"/>
        </w:rPr>
        <w:t xml:space="preserve"> en cuatro líneas de investigación: atención médica integral, proceso de atención de enfermería, atención estomatológica integral y formación de recu</w:t>
      </w:r>
      <w:r>
        <w:rPr>
          <w:rFonts w:ascii="Arial" w:hAnsi="Arial" w:cs="Arial"/>
          <w:sz w:val="24"/>
          <w:szCs w:val="24"/>
        </w:rPr>
        <w:t>rsos humanos en el sector salud.</w:t>
      </w:r>
    </w:p>
    <w:p w:rsidR="00FC503A" w:rsidRDefault="00EB5908" w:rsidP="00FC503A">
      <w:pPr>
        <w:jc w:val="both"/>
        <w:rPr>
          <w:rFonts w:ascii="Arial" w:hAnsi="Arial" w:cs="Arial"/>
          <w:sz w:val="24"/>
          <w:szCs w:val="24"/>
        </w:rPr>
      </w:pPr>
      <w:r w:rsidRPr="002E1541">
        <w:rPr>
          <w:rFonts w:ascii="Arial" w:hAnsi="Arial" w:cs="Arial"/>
          <w:sz w:val="24"/>
          <w:szCs w:val="24"/>
        </w:rPr>
        <w:t>El proceso docente educativo se orienta hacia el desarrollo de la personalidad del estudiante, donde el maestrante es sujeto de su propio aprendizaje y el docente</w:t>
      </w:r>
      <w:r>
        <w:rPr>
          <w:rFonts w:ascii="Arial" w:hAnsi="Arial" w:cs="Arial"/>
          <w:sz w:val="24"/>
          <w:szCs w:val="24"/>
        </w:rPr>
        <w:t xml:space="preserve"> y el tutor</w:t>
      </w:r>
      <w:r w:rsidRPr="002E1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</w:t>
      </w:r>
      <w:r w:rsidRPr="002E1541">
        <w:rPr>
          <w:rFonts w:ascii="Arial" w:hAnsi="Arial" w:cs="Arial"/>
          <w:sz w:val="24"/>
          <w:szCs w:val="24"/>
        </w:rPr>
        <w:t xml:space="preserve"> guía</w:t>
      </w:r>
      <w:r>
        <w:rPr>
          <w:rFonts w:ascii="Arial" w:hAnsi="Arial" w:cs="Arial"/>
          <w:sz w:val="24"/>
          <w:szCs w:val="24"/>
        </w:rPr>
        <w:t>s</w:t>
      </w:r>
      <w:r w:rsidRPr="002E1541">
        <w:rPr>
          <w:rFonts w:ascii="Arial" w:hAnsi="Arial" w:cs="Arial"/>
          <w:sz w:val="24"/>
          <w:szCs w:val="24"/>
        </w:rPr>
        <w:t xml:space="preserve"> y orientador</w:t>
      </w:r>
      <w:r>
        <w:rPr>
          <w:rFonts w:ascii="Arial" w:hAnsi="Arial" w:cs="Arial"/>
          <w:sz w:val="24"/>
          <w:szCs w:val="24"/>
        </w:rPr>
        <w:t>es</w:t>
      </w:r>
      <w:r w:rsidRPr="002E1541">
        <w:rPr>
          <w:rFonts w:ascii="Arial" w:hAnsi="Arial" w:cs="Arial"/>
          <w:sz w:val="24"/>
          <w:szCs w:val="24"/>
        </w:rPr>
        <w:t xml:space="preserve"> de este aprendizaj</w:t>
      </w:r>
      <w:r w:rsidRPr="002E1541">
        <w:rPr>
          <w:rFonts w:ascii="Arial" w:hAnsi="Arial" w:cs="Arial"/>
          <w:sz w:val="24"/>
          <w:szCs w:val="24"/>
        </w:rPr>
        <w:t xml:space="preserve">e a través del proceso de formación académica.  </w:t>
      </w:r>
    </w:p>
    <w:p w:rsidR="00EB5908" w:rsidRDefault="00EB5908" w:rsidP="00EB5908">
      <w:pPr>
        <w:jc w:val="both"/>
        <w:rPr>
          <w:rFonts w:ascii="Arial" w:hAnsi="Arial" w:cs="Arial"/>
          <w:sz w:val="24"/>
          <w:szCs w:val="24"/>
        </w:rPr>
      </w:pPr>
      <w:r w:rsidRPr="002E1541">
        <w:rPr>
          <w:rFonts w:ascii="Arial" w:hAnsi="Arial" w:cs="Arial"/>
          <w:sz w:val="24"/>
          <w:szCs w:val="24"/>
        </w:rPr>
        <w:t xml:space="preserve">Las actividades académicas están encaminadas a desarrollar la independencia, creatividad, desarrollo del pensamiento crítico y reflexivo en el análisis y solución de los problemas de salud y el desempeño del maestrante como principal sujeto del proceso de aprendizaje; por lo que se enfatizará en el aprendizaje independiente, bajo la orientación, dirección y supervisión del claustro de profesores y tutores.  </w:t>
      </w:r>
    </w:p>
    <w:p w:rsidR="00EB5908" w:rsidRPr="002E1541" w:rsidRDefault="00EB5908" w:rsidP="00EB5908">
      <w:pPr>
        <w:jc w:val="both"/>
        <w:rPr>
          <w:rFonts w:ascii="Arial" w:hAnsi="Arial" w:cs="Arial"/>
          <w:sz w:val="24"/>
          <w:szCs w:val="24"/>
        </w:rPr>
      </w:pPr>
      <w:r w:rsidRPr="002E1541">
        <w:rPr>
          <w:rFonts w:ascii="Arial" w:hAnsi="Arial" w:cs="Arial"/>
          <w:sz w:val="24"/>
          <w:szCs w:val="24"/>
        </w:rPr>
        <w:t>La interacción entre el maestrante y su tutor se produce desde el inicio del programa y se responsabiliza precisamente al tutor, con el apoyo del claustro de profesores, con la form</w:t>
      </w:r>
      <w:r>
        <w:rPr>
          <w:rFonts w:ascii="Arial" w:hAnsi="Arial" w:cs="Arial"/>
          <w:sz w:val="24"/>
          <w:szCs w:val="24"/>
        </w:rPr>
        <w:t xml:space="preserve">ación integral del maestrante. </w:t>
      </w:r>
      <w:r w:rsidRPr="002E1541">
        <w:rPr>
          <w:rFonts w:ascii="Arial" w:hAnsi="Arial" w:cs="Arial"/>
          <w:sz w:val="24"/>
          <w:szCs w:val="24"/>
        </w:rPr>
        <w:t>Este tutor está responsabilizado con el seguimiento de la evaluación del maestrante, además de dirigir la tesis, en la que debe reflejarse el trabajo de investigación, su elaboración y sustentación.</w:t>
      </w:r>
    </w:p>
    <w:p w:rsidR="00EB5908" w:rsidRPr="002E1541" w:rsidRDefault="00EB5908" w:rsidP="00EB5908">
      <w:pPr>
        <w:jc w:val="both"/>
        <w:rPr>
          <w:rFonts w:ascii="Arial" w:hAnsi="Arial" w:cs="Arial"/>
          <w:sz w:val="24"/>
          <w:szCs w:val="24"/>
        </w:rPr>
      </w:pPr>
      <w:r w:rsidRPr="002E1541">
        <w:rPr>
          <w:rFonts w:ascii="Arial" w:hAnsi="Arial" w:cs="Arial"/>
          <w:sz w:val="24"/>
          <w:szCs w:val="24"/>
        </w:rPr>
        <w:t>Los principales presupuestos teóricos que se han tenido en cuenta en la concepción de esta maestría son los siguientes:</w:t>
      </w:r>
    </w:p>
    <w:p w:rsidR="00EB5908" w:rsidRPr="00EB5908" w:rsidRDefault="00EB5908" w:rsidP="00EB59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B5908">
        <w:rPr>
          <w:rFonts w:ascii="Arial" w:hAnsi="Arial" w:cs="Arial"/>
          <w:sz w:val="24"/>
          <w:szCs w:val="24"/>
        </w:rPr>
        <w:t>Lo más avanzado del acervo investigativo, cubano y mundial, en ciencias biomédicas.</w:t>
      </w:r>
    </w:p>
    <w:p w:rsidR="00EB5908" w:rsidRPr="00EB5908" w:rsidRDefault="00EB5908" w:rsidP="00EB59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B5908">
        <w:rPr>
          <w:rFonts w:ascii="Arial" w:hAnsi="Arial" w:cs="Arial"/>
          <w:sz w:val="24"/>
          <w:szCs w:val="24"/>
        </w:rPr>
        <w:t>Una concepción dialéctico materialista en la investigación científica.</w:t>
      </w:r>
    </w:p>
    <w:p w:rsidR="00EB5908" w:rsidRPr="00EB5908" w:rsidRDefault="00EB5908" w:rsidP="00EB59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B5908">
        <w:rPr>
          <w:rFonts w:ascii="Arial" w:hAnsi="Arial" w:cs="Arial"/>
          <w:sz w:val="24"/>
          <w:szCs w:val="24"/>
        </w:rPr>
        <w:t>Una concepción histórica cultural, social, humanista y ética de las investigaciones.</w:t>
      </w:r>
    </w:p>
    <w:p w:rsidR="00EB5908" w:rsidRPr="00EB5908" w:rsidRDefault="00EB5908" w:rsidP="00EB59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B5908">
        <w:rPr>
          <w:rFonts w:ascii="Arial" w:hAnsi="Arial" w:cs="Arial"/>
          <w:sz w:val="24"/>
          <w:szCs w:val="24"/>
        </w:rPr>
        <w:t>La vinculación de la teoría con la práctica en la solución de los problemas en la atención primaria y secundaria de salud.</w:t>
      </w:r>
    </w:p>
    <w:p w:rsidR="00EB5908" w:rsidRPr="00EB5908" w:rsidRDefault="00EB5908" w:rsidP="00EB590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B5908">
        <w:rPr>
          <w:rFonts w:ascii="Arial" w:hAnsi="Arial" w:cs="Arial"/>
          <w:sz w:val="24"/>
          <w:szCs w:val="24"/>
        </w:rPr>
        <w:t>La aplicación de la vinculación estudio trabajo como principio de la formación integral y cultural del profesional de la salud, la educación en el trabajo.</w:t>
      </w:r>
    </w:p>
    <w:p w:rsidR="0007479A" w:rsidRPr="002E1541" w:rsidRDefault="0007479A" w:rsidP="000747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1541">
        <w:rPr>
          <w:rFonts w:ascii="Arial" w:hAnsi="Arial" w:cs="Arial"/>
          <w:sz w:val="24"/>
          <w:szCs w:val="24"/>
        </w:rPr>
        <w:t>Las Líneas y Temáticas de investigación que emprenderán los estudiantes con sus tutores son las siguientes:</w:t>
      </w:r>
    </w:p>
    <w:p w:rsidR="0007479A" w:rsidRPr="002E1541" w:rsidRDefault="0007479A" w:rsidP="000747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479A" w:rsidRPr="002E1541" w:rsidRDefault="0007479A" w:rsidP="0007479A">
      <w:pPr>
        <w:pStyle w:val="NormalWeb"/>
        <w:numPr>
          <w:ilvl w:val="0"/>
          <w:numId w:val="4"/>
        </w:numPr>
        <w:spacing w:beforeAutospacing="0" w:after="0" w:afterAutospacing="0"/>
        <w:ind w:left="993" w:hanging="993"/>
        <w:jc w:val="both"/>
        <w:rPr>
          <w:rFonts w:ascii="Arial" w:eastAsiaTheme="minorEastAsia" w:hAnsi="Arial" w:cs="Arial"/>
          <w:bCs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bCs/>
          <w:color w:val="000000" w:themeColor="text1"/>
          <w:lang w:val="es-MX"/>
        </w:rPr>
        <w:t>Atención Médica Integral.</w:t>
      </w:r>
    </w:p>
    <w:p w:rsidR="0007479A" w:rsidRPr="002E1541" w:rsidRDefault="0007479A" w:rsidP="0007479A">
      <w:pPr>
        <w:pStyle w:val="NormalWeb"/>
        <w:spacing w:beforeAutospacing="0" w:after="0" w:afterAutospacing="0"/>
        <w:ind w:left="993"/>
        <w:jc w:val="both"/>
        <w:rPr>
          <w:rFonts w:ascii="Arial" w:eastAsiaTheme="minorEastAsia" w:hAnsi="Arial" w:cs="Arial"/>
          <w:bCs/>
          <w:color w:val="000000" w:themeColor="text1"/>
          <w:lang w:val="es-MX"/>
        </w:rPr>
      </w:pPr>
    </w:p>
    <w:p w:rsidR="0007479A" w:rsidRPr="002E1541" w:rsidRDefault="0007479A" w:rsidP="0007479A">
      <w:pPr>
        <w:pStyle w:val="NormalWeb"/>
        <w:numPr>
          <w:ilvl w:val="0"/>
          <w:numId w:val="7"/>
        </w:numPr>
        <w:spacing w:beforeAutospacing="0" w:after="0" w:afterAutospacing="0"/>
        <w:jc w:val="both"/>
        <w:rPr>
          <w:rFonts w:ascii="Arial" w:hAnsi="Arial" w:cs="Arial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Interdisciplinariedad </w:t>
      </w:r>
      <w:r>
        <w:rPr>
          <w:rFonts w:ascii="Arial" w:eastAsiaTheme="minorEastAsia" w:hAnsi="Arial" w:cs="Arial"/>
          <w:color w:val="000000" w:themeColor="text1"/>
          <w:lang w:val="es-MX"/>
        </w:rPr>
        <w:t xml:space="preserve">y calidad </w:t>
      </w: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en la atención médica </w:t>
      </w:r>
    </w:p>
    <w:p w:rsidR="0007479A" w:rsidRPr="002E1541" w:rsidRDefault="0007479A" w:rsidP="0007479A">
      <w:pPr>
        <w:pStyle w:val="NormalWeb"/>
        <w:numPr>
          <w:ilvl w:val="0"/>
          <w:numId w:val="7"/>
        </w:numPr>
        <w:spacing w:beforeAutospacing="0" w:after="0" w:afterAutospacing="0"/>
        <w:jc w:val="both"/>
        <w:rPr>
          <w:rFonts w:ascii="Arial" w:hAnsi="Arial" w:cs="Arial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Efectividad de intervenciones en la solución de los problemas clínicos  </w:t>
      </w:r>
    </w:p>
    <w:p w:rsidR="0007479A" w:rsidRPr="002E1541" w:rsidRDefault="0007479A" w:rsidP="0007479A">
      <w:pPr>
        <w:pStyle w:val="NormalWeb"/>
        <w:numPr>
          <w:ilvl w:val="0"/>
          <w:numId w:val="7"/>
        </w:numPr>
        <w:spacing w:beforeAutospacing="0" w:after="0" w:afterAutospacing="0"/>
        <w:jc w:val="both"/>
        <w:rPr>
          <w:rFonts w:ascii="Arial" w:hAnsi="Arial" w:cs="Arial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Relación </w:t>
      </w:r>
      <w:r>
        <w:rPr>
          <w:rFonts w:ascii="Arial" w:eastAsiaTheme="minorEastAsia" w:hAnsi="Arial" w:cs="Arial"/>
          <w:color w:val="000000" w:themeColor="text1"/>
          <w:lang w:val="es-MX"/>
        </w:rPr>
        <w:t>profesional sanitario -</w:t>
      </w: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 paciente       </w:t>
      </w:r>
    </w:p>
    <w:p w:rsidR="0007479A" w:rsidRPr="002E1541" w:rsidRDefault="0007479A" w:rsidP="0007479A">
      <w:pPr>
        <w:pStyle w:val="NormalWeb"/>
        <w:numPr>
          <w:ilvl w:val="0"/>
          <w:numId w:val="7"/>
        </w:numPr>
        <w:spacing w:beforeAutospacing="0" w:after="0" w:afterAutospacing="0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Gestión de la atención médica integral </w:t>
      </w:r>
    </w:p>
    <w:p w:rsidR="0007479A" w:rsidRPr="002E1541" w:rsidRDefault="0007479A" w:rsidP="0007479A">
      <w:pPr>
        <w:pStyle w:val="NormalWeb"/>
        <w:spacing w:beforeAutospacing="0" w:after="0" w:afterAutospacing="0"/>
        <w:ind w:left="1134"/>
        <w:jc w:val="both"/>
        <w:rPr>
          <w:rFonts w:ascii="Arial" w:eastAsiaTheme="minorEastAsia" w:hAnsi="Arial" w:cs="Arial"/>
          <w:color w:val="000000" w:themeColor="text1"/>
          <w:lang w:val="es-MX"/>
        </w:rPr>
      </w:pPr>
    </w:p>
    <w:p w:rsidR="0007479A" w:rsidRPr="002E1541" w:rsidRDefault="0007479A" w:rsidP="0007479A">
      <w:pPr>
        <w:pStyle w:val="NormalWeb"/>
        <w:numPr>
          <w:ilvl w:val="0"/>
          <w:numId w:val="4"/>
        </w:numPr>
        <w:spacing w:beforeAutospacing="0" w:after="0" w:afterAutospacing="0"/>
        <w:ind w:left="993" w:hanging="993"/>
        <w:jc w:val="both"/>
        <w:rPr>
          <w:rFonts w:ascii="Arial" w:eastAsiaTheme="minorEastAsia" w:hAnsi="Arial" w:cs="Arial"/>
          <w:bCs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bCs/>
          <w:color w:val="000000" w:themeColor="text1"/>
          <w:lang w:val="es-MX"/>
        </w:rPr>
        <w:lastRenderedPageBreak/>
        <w:t>Proceso de Atención de Enfermería.</w:t>
      </w:r>
    </w:p>
    <w:p w:rsidR="0007479A" w:rsidRPr="002E1541" w:rsidRDefault="0007479A" w:rsidP="0007479A">
      <w:pPr>
        <w:pStyle w:val="NormalWeb"/>
        <w:spacing w:beforeAutospacing="0" w:after="0" w:afterAutospacing="0"/>
        <w:ind w:left="993"/>
        <w:jc w:val="both"/>
        <w:rPr>
          <w:rFonts w:ascii="Arial" w:eastAsiaTheme="minorEastAsia" w:hAnsi="Arial" w:cs="Arial"/>
          <w:bCs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bCs/>
          <w:color w:val="000000" w:themeColor="text1"/>
          <w:lang w:val="es-MX"/>
        </w:rPr>
        <w:t xml:space="preserve"> </w:t>
      </w:r>
    </w:p>
    <w:p w:rsidR="0007479A" w:rsidRPr="002E1541" w:rsidRDefault="0007479A" w:rsidP="0007479A">
      <w:pPr>
        <w:pStyle w:val="NormalWeb"/>
        <w:numPr>
          <w:ilvl w:val="0"/>
          <w:numId w:val="7"/>
        </w:numPr>
        <w:spacing w:beforeAutospacing="0" w:after="0" w:afterAutospacing="0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Modelos </w:t>
      </w:r>
      <w:r>
        <w:rPr>
          <w:rFonts w:ascii="Arial" w:eastAsiaTheme="minorEastAsia" w:hAnsi="Arial" w:cs="Arial"/>
          <w:color w:val="000000" w:themeColor="text1"/>
          <w:lang w:val="es-MX"/>
        </w:rPr>
        <w:t xml:space="preserve">y protocolos </w:t>
      </w: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de actuación en el Proceso de Atención a Enfermería (PAE). </w:t>
      </w:r>
    </w:p>
    <w:p w:rsidR="0007479A" w:rsidRPr="002E1541" w:rsidRDefault="0007479A" w:rsidP="0007479A">
      <w:pPr>
        <w:pStyle w:val="NormalWeb"/>
        <w:numPr>
          <w:ilvl w:val="0"/>
          <w:numId w:val="7"/>
        </w:numPr>
        <w:spacing w:beforeAutospacing="0" w:after="0" w:afterAutospacing="0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>Aplicaciones del PAE en el área clínica</w:t>
      </w:r>
      <w:r>
        <w:rPr>
          <w:rFonts w:ascii="Arial" w:eastAsiaTheme="minorEastAsia" w:hAnsi="Arial" w:cs="Arial"/>
          <w:color w:val="000000" w:themeColor="text1"/>
          <w:lang w:val="es-MX"/>
        </w:rPr>
        <w:t xml:space="preserve"> y quirúrgica</w:t>
      </w: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. </w:t>
      </w:r>
    </w:p>
    <w:p w:rsidR="0007479A" w:rsidRPr="002E1541" w:rsidRDefault="0007479A" w:rsidP="0007479A">
      <w:pPr>
        <w:pStyle w:val="NormalWeb"/>
        <w:numPr>
          <w:ilvl w:val="0"/>
          <w:numId w:val="7"/>
        </w:numPr>
        <w:spacing w:beforeAutospacing="0" w:after="0" w:afterAutospacing="0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>Educación en Salud en la Atención Primaria en Salud</w:t>
      </w:r>
    </w:p>
    <w:p w:rsidR="0007479A" w:rsidRDefault="0007479A" w:rsidP="0007479A">
      <w:pPr>
        <w:pStyle w:val="NormalWeb"/>
        <w:numPr>
          <w:ilvl w:val="0"/>
          <w:numId w:val="7"/>
        </w:numPr>
        <w:spacing w:beforeAutospacing="0" w:after="0" w:afterAutospacing="0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Factores de riesgo en el área </w:t>
      </w:r>
      <w:proofErr w:type="spellStart"/>
      <w:r w:rsidRPr="002E1541">
        <w:rPr>
          <w:rFonts w:ascii="Arial" w:eastAsiaTheme="minorEastAsia" w:hAnsi="Arial" w:cs="Arial"/>
          <w:color w:val="000000" w:themeColor="text1"/>
          <w:lang w:val="es-MX"/>
        </w:rPr>
        <w:t>ginecobstétrica</w:t>
      </w:r>
      <w:proofErr w:type="spellEnd"/>
      <w:r>
        <w:rPr>
          <w:rFonts w:ascii="Arial" w:eastAsiaTheme="minorEastAsia" w:hAnsi="Arial" w:cs="Arial"/>
          <w:color w:val="000000" w:themeColor="text1"/>
          <w:lang w:val="es-MX"/>
        </w:rPr>
        <w:t>, pediátrica y geriátrica</w:t>
      </w:r>
      <w:r w:rsidRPr="002E1541">
        <w:rPr>
          <w:rFonts w:ascii="Arial" w:eastAsiaTheme="minorEastAsia" w:hAnsi="Arial" w:cs="Arial"/>
          <w:color w:val="000000" w:themeColor="text1"/>
          <w:lang w:val="es-MX"/>
        </w:rPr>
        <w:t>.</w:t>
      </w:r>
    </w:p>
    <w:p w:rsidR="0007479A" w:rsidRPr="002E1541" w:rsidRDefault="0007479A" w:rsidP="0007479A">
      <w:pPr>
        <w:pStyle w:val="NormalWeb"/>
        <w:spacing w:beforeAutospacing="0" w:after="0" w:afterAutospacing="0"/>
        <w:ind w:left="720"/>
        <w:jc w:val="both"/>
        <w:rPr>
          <w:rFonts w:ascii="Arial" w:eastAsiaTheme="minorEastAsia" w:hAnsi="Arial" w:cs="Arial"/>
          <w:color w:val="000000" w:themeColor="text1"/>
          <w:lang w:val="es-MX"/>
        </w:rPr>
      </w:pPr>
    </w:p>
    <w:p w:rsidR="0007479A" w:rsidRPr="002E1541" w:rsidRDefault="0007479A" w:rsidP="0007479A">
      <w:pPr>
        <w:pStyle w:val="NormalWeb"/>
        <w:numPr>
          <w:ilvl w:val="0"/>
          <w:numId w:val="4"/>
        </w:numPr>
        <w:spacing w:beforeAutospacing="0" w:after="0" w:afterAutospacing="0"/>
        <w:ind w:left="993" w:hanging="993"/>
        <w:jc w:val="both"/>
        <w:rPr>
          <w:rFonts w:ascii="Arial" w:eastAsiaTheme="minorEastAsia" w:hAnsi="Arial" w:cs="Arial"/>
          <w:bCs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bCs/>
          <w:color w:val="000000" w:themeColor="text1"/>
          <w:lang w:val="es-MX"/>
        </w:rPr>
        <w:t>Atención Estomatológica Integral.</w:t>
      </w:r>
    </w:p>
    <w:p w:rsidR="0007479A" w:rsidRPr="002E1541" w:rsidRDefault="0007479A" w:rsidP="0007479A">
      <w:pPr>
        <w:pStyle w:val="NormalWeb"/>
        <w:spacing w:beforeAutospacing="0" w:after="0" w:afterAutospacing="0"/>
        <w:ind w:left="993"/>
        <w:jc w:val="both"/>
        <w:rPr>
          <w:rFonts w:ascii="Arial" w:eastAsiaTheme="minorEastAsia" w:hAnsi="Arial" w:cs="Arial"/>
          <w:bCs/>
          <w:color w:val="000000" w:themeColor="text1"/>
          <w:lang w:val="es-MX"/>
        </w:rPr>
      </w:pPr>
    </w:p>
    <w:p w:rsidR="0007479A" w:rsidRPr="002E1541" w:rsidRDefault="0007479A" w:rsidP="000747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bCs/>
          <w:vanish/>
          <w:color w:val="000000" w:themeColor="text1"/>
          <w:sz w:val="24"/>
          <w:szCs w:val="24"/>
          <w:lang w:val="es-MX" w:eastAsia="es-ES"/>
        </w:rPr>
      </w:pPr>
    </w:p>
    <w:p w:rsidR="0007479A" w:rsidRPr="002E1541" w:rsidRDefault="0007479A" w:rsidP="0007479A">
      <w:pPr>
        <w:pStyle w:val="NormalWeb"/>
        <w:numPr>
          <w:ilvl w:val="1"/>
          <w:numId w:val="5"/>
        </w:numPr>
        <w:tabs>
          <w:tab w:val="left" w:pos="7513"/>
        </w:tabs>
        <w:spacing w:beforeAutospacing="0" w:after="0" w:afterAutospacing="0"/>
        <w:ind w:left="709" w:hanging="283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Desarrollo de la formación de los Recursos Humanos Estomatológicos  </w:t>
      </w:r>
    </w:p>
    <w:p w:rsidR="0007479A" w:rsidRPr="002E1541" w:rsidRDefault="0007479A" w:rsidP="0007479A">
      <w:pPr>
        <w:pStyle w:val="NormalWeb"/>
        <w:numPr>
          <w:ilvl w:val="1"/>
          <w:numId w:val="5"/>
        </w:numPr>
        <w:tabs>
          <w:tab w:val="left" w:pos="7513"/>
        </w:tabs>
        <w:spacing w:beforeAutospacing="0" w:after="0" w:afterAutospacing="0"/>
        <w:ind w:left="709" w:hanging="283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Investigaciones en sistemas y servicios de salud en Estomatología. </w:t>
      </w:r>
    </w:p>
    <w:p w:rsidR="0007479A" w:rsidRPr="002E1541" w:rsidRDefault="0007479A" w:rsidP="0007479A">
      <w:pPr>
        <w:pStyle w:val="NormalWeb"/>
        <w:numPr>
          <w:ilvl w:val="1"/>
          <w:numId w:val="5"/>
        </w:numPr>
        <w:tabs>
          <w:tab w:val="left" w:pos="7513"/>
        </w:tabs>
        <w:spacing w:beforeAutospacing="0" w:after="0" w:afterAutospacing="0"/>
        <w:ind w:left="709" w:hanging="283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Epidemiología, promoción y prevención de las enfermedades buco maxilofaciales. </w:t>
      </w:r>
    </w:p>
    <w:p w:rsidR="0007479A" w:rsidRPr="002E1541" w:rsidRDefault="0007479A" w:rsidP="0007479A">
      <w:pPr>
        <w:pStyle w:val="NormalWeb"/>
        <w:numPr>
          <w:ilvl w:val="1"/>
          <w:numId w:val="5"/>
        </w:numPr>
        <w:tabs>
          <w:tab w:val="left" w:pos="7513"/>
        </w:tabs>
        <w:spacing w:beforeAutospacing="0" w:after="0" w:afterAutospacing="0"/>
        <w:ind w:left="709" w:hanging="283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Diagnóstico, tratamiento y pronóstico de las enfermedades buco maxilofaciales </w:t>
      </w:r>
    </w:p>
    <w:p w:rsidR="0007479A" w:rsidRPr="002E1541" w:rsidRDefault="0007479A" w:rsidP="0007479A">
      <w:pPr>
        <w:pStyle w:val="NormalWeb"/>
        <w:spacing w:beforeAutospacing="0" w:after="0" w:afterAutospacing="0"/>
        <w:ind w:left="1080"/>
        <w:jc w:val="both"/>
        <w:rPr>
          <w:rFonts w:ascii="Arial" w:eastAsiaTheme="minorEastAsia" w:hAnsi="Arial" w:cs="Arial"/>
          <w:color w:val="000000" w:themeColor="text1"/>
          <w:lang w:val="es-MX"/>
        </w:rPr>
      </w:pPr>
    </w:p>
    <w:p w:rsidR="0007479A" w:rsidRPr="002E1541" w:rsidRDefault="0007479A" w:rsidP="0007479A">
      <w:pPr>
        <w:pStyle w:val="NormalWeb"/>
        <w:spacing w:beforeAutospacing="0" w:after="0" w:afterAutospacing="0"/>
        <w:jc w:val="both"/>
        <w:rPr>
          <w:rFonts w:ascii="Arial" w:eastAsiaTheme="minorEastAsia" w:hAnsi="Arial" w:cs="Arial"/>
          <w:bCs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bCs/>
          <w:color w:val="000000" w:themeColor="text1"/>
          <w:lang w:val="es-MX"/>
        </w:rPr>
        <w:t>Línea 4. Formación de recursos humanos específicos para el sector salud.</w:t>
      </w:r>
      <w:bookmarkStart w:id="0" w:name="_GoBack"/>
      <w:bookmarkEnd w:id="0"/>
    </w:p>
    <w:p w:rsidR="0007479A" w:rsidRPr="002E1541" w:rsidRDefault="0007479A" w:rsidP="0007479A">
      <w:pPr>
        <w:pStyle w:val="NormalWeb"/>
        <w:spacing w:beforeAutospacing="0" w:after="0" w:afterAutospacing="0"/>
        <w:jc w:val="both"/>
        <w:rPr>
          <w:rFonts w:ascii="Arial" w:eastAsiaTheme="minorEastAsia" w:hAnsi="Arial" w:cs="Arial"/>
          <w:bCs/>
          <w:color w:val="000000" w:themeColor="text1"/>
          <w:lang w:val="es-MX"/>
        </w:rPr>
      </w:pPr>
    </w:p>
    <w:p w:rsidR="0007479A" w:rsidRPr="002E1541" w:rsidRDefault="0007479A" w:rsidP="000747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bCs/>
          <w:vanish/>
          <w:color w:val="000000" w:themeColor="text1"/>
          <w:sz w:val="24"/>
          <w:szCs w:val="24"/>
          <w:lang w:val="es-MX" w:eastAsia="es-ES"/>
        </w:rPr>
      </w:pPr>
    </w:p>
    <w:p w:rsidR="0007479A" w:rsidRPr="002E1541" w:rsidRDefault="0007479A" w:rsidP="000747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bCs/>
          <w:vanish/>
          <w:color w:val="000000" w:themeColor="text1"/>
          <w:sz w:val="24"/>
          <w:szCs w:val="24"/>
          <w:lang w:val="es-MX" w:eastAsia="es-ES"/>
        </w:rPr>
      </w:pPr>
    </w:p>
    <w:p w:rsidR="0007479A" w:rsidRPr="002E1541" w:rsidRDefault="0007479A" w:rsidP="000747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bCs/>
          <w:vanish/>
          <w:color w:val="000000" w:themeColor="text1"/>
          <w:sz w:val="24"/>
          <w:szCs w:val="24"/>
          <w:lang w:val="es-MX" w:eastAsia="es-ES"/>
        </w:rPr>
      </w:pPr>
    </w:p>
    <w:p w:rsidR="0007479A" w:rsidRPr="00B13D77" w:rsidRDefault="0007479A" w:rsidP="0007479A">
      <w:pPr>
        <w:pStyle w:val="NormalWeb"/>
        <w:numPr>
          <w:ilvl w:val="1"/>
          <w:numId w:val="6"/>
        </w:numPr>
        <w:spacing w:beforeAutospacing="0" w:after="0" w:afterAutospacing="0"/>
        <w:ind w:left="1134" w:hanging="567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B13D77">
        <w:rPr>
          <w:rFonts w:ascii="Arial" w:eastAsiaTheme="minorEastAsia" w:hAnsi="Arial" w:cs="Arial"/>
          <w:color w:val="000000" w:themeColor="text1"/>
          <w:lang w:val="es-MX"/>
        </w:rPr>
        <w:t xml:space="preserve">Modelos de investigación en el </w:t>
      </w:r>
      <w:r>
        <w:rPr>
          <w:rFonts w:ascii="Arial" w:eastAsiaTheme="minorEastAsia" w:hAnsi="Arial" w:cs="Arial"/>
          <w:color w:val="000000" w:themeColor="text1"/>
          <w:lang w:val="es-MX"/>
        </w:rPr>
        <w:t>d</w:t>
      </w:r>
      <w:r w:rsidRPr="00B13D77">
        <w:rPr>
          <w:rFonts w:ascii="Arial" w:eastAsiaTheme="minorEastAsia" w:hAnsi="Arial" w:cs="Arial"/>
          <w:color w:val="000000" w:themeColor="text1"/>
          <w:lang w:val="es-MX"/>
        </w:rPr>
        <w:t xml:space="preserve">esarrollo de las habilidades y/o competencias en la formación de los profesionales de la salud. </w:t>
      </w:r>
    </w:p>
    <w:p w:rsidR="0007479A" w:rsidRPr="002E1541" w:rsidRDefault="0007479A" w:rsidP="0007479A">
      <w:pPr>
        <w:pStyle w:val="NormalWeb"/>
        <w:numPr>
          <w:ilvl w:val="1"/>
          <w:numId w:val="6"/>
        </w:numPr>
        <w:spacing w:beforeAutospacing="0" w:after="0" w:afterAutospacing="0"/>
        <w:ind w:left="1134" w:hanging="567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Didáctica de la Educación Médica, </w:t>
      </w:r>
      <w:r>
        <w:rPr>
          <w:rFonts w:ascii="Arial" w:eastAsiaTheme="minorEastAsia" w:hAnsi="Arial" w:cs="Arial"/>
          <w:color w:val="000000" w:themeColor="text1"/>
          <w:lang w:val="es-MX"/>
        </w:rPr>
        <w:t>desde el enfoque universidad y sociedad</w:t>
      </w:r>
      <w:r w:rsidRPr="002E1541">
        <w:rPr>
          <w:rFonts w:ascii="Arial" w:eastAsiaTheme="minorEastAsia" w:hAnsi="Arial" w:cs="Arial"/>
          <w:color w:val="000000" w:themeColor="text1"/>
          <w:lang w:val="es-MX"/>
        </w:rPr>
        <w:t>.</w:t>
      </w:r>
    </w:p>
    <w:p w:rsidR="0007479A" w:rsidRPr="002E1541" w:rsidRDefault="0007479A" w:rsidP="0007479A">
      <w:pPr>
        <w:pStyle w:val="NormalWeb"/>
        <w:numPr>
          <w:ilvl w:val="1"/>
          <w:numId w:val="6"/>
        </w:numPr>
        <w:spacing w:beforeAutospacing="0" w:after="0" w:afterAutospacing="0"/>
        <w:ind w:left="1134" w:hanging="567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>
        <w:rPr>
          <w:rFonts w:ascii="Arial" w:eastAsiaTheme="minorEastAsia" w:hAnsi="Arial" w:cs="Arial"/>
          <w:color w:val="000000" w:themeColor="text1"/>
          <w:lang w:val="es-MX"/>
        </w:rPr>
        <w:t xml:space="preserve">Desempeño profesional en la </w:t>
      </w:r>
      <w:r w:rsidRPr="002E1541">
        <w:rPr>
          <w:rFonts w:ascii="Arial" w:eastAsiaTheme="minorEastAsia" w:hAnsi="Arial" w:cs="Arial"/>
          <w:color w:val="000000" w:themeColor="text1"/>
          <w:lang w:val="es-MX"/>
        </w:rPr>
        <w:t xml:space="preserve">formación de los recursos humanos en el sector salud. </w:t>
      </w:r>
    </w:p>
    <w:p w:rsidR="0007479A" w:rsidRPr="002E1541" w:rsidRDefault="0007479A" w:rsidP="0007479A">
      <w:pPr>
        <w:pStyle w:val="NormalWeb"/>
        <w:numPr>
          <w:ilvl w:val="1"/>
          <w:numId w:val="6"/>
        </w:numPr>
        <w:spacing w:beforeAutospacing="0" w:after="0" w:afterAutospacing="0"/>
        <w:ind w:left="1134" w:hanging="567"/>
        <w:jc w:val="both"/>
        <w:rPr>
          <w:rFonts w:ascii="Arial" w:eastAsiaTheme="minorEastAsia" w:hAnsi="Arial" w:cs="Arial"/>
          <w:color w:val="000000" w:themeColor="text1"/>
          <w:lang w:val="es-MX"/>
        </w:rPr>
      </w:pPr>
      <w:r w:rsidRPr="002E1541">
        <w:rPr>
          <w:rFonts w:ascii="Arial" w:eastAsiaTheme="minorEastAsia" w:hAnsi="Arial" w:cs="Arial"/>
          <w:color w:val="000000" w:themeColor="text1"/>
          <w:lang w:val="es-MX"/>
        </w:rPr>
        <w:t>La Gestión de la Calidad y sus elementos más actuales, la Gestión del Conocimiento y del Capital Intelectual, en la administración de los procesos y servicios propios de los servicios médicos y la Educación Médica.</w:t>
      </w:r>
    </w:p>
    <w:p w:rsidR="00EB5908" w:rsidRPr="0007479A" w:rsidRDefault="00EB5908" w:rsidP="00FC503A">
      <w:pPr>
        <w:jc w:val="both"/>
        <w:rPr>
          <w:lang w:val="es-MX"/>
        </w:rPr>
      </w:pPr>
    </w:p>
    <w:sectPr w:rsidR="00EB5908" w:rsidRPr="00074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1602"/>
    <w:multiLevelType w:val="hybridMultilevel"/>
    <w:tmpl w:val="DC067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27C15"/>
    <w:multiLevelType w:val="hybridMultilevel"/>
    <w:tmpl w:val="F77E368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972335"/>
    <w:multiLevelType w:val="multilevel"/>
    <w:tmpl w:val="FFFFFFFF"/>
    <w:lvl w:ilvl="0">
      <w:start w:val="1"/>
      <w:numFmt w:val="decimal"/>
      <w:lvlText w:val="Línea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2.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C2B2F"/>
    <w:multiLevelType w:val="hybridMultilevel"/>
    <w:tmpl w:val="B99E72D4"/>
    <w:lvl w:ilvl="0" w:tplc="4F96BA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F38FA"/>
    <w:multiLevelType w:val="hybridMultilevel"/>
    <w:tmpl w:val="0120A14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340166"/>
    <w:multiLevelType w:val="multilevel"/>
    <w:tmpl w:val="FFFFFFFF"/>
    <w:lvl w:ilvl="0">
      <w:start w:val="1"/>
      <w:numFmt w:val="none"/>
      <w:suff w:val="nothing"/>
      <w:lvlText w:val="ínea3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023297"/>
    <w:multiLevelType w:val="multilevel"/>
    <w:tmpl w:val="FFFFFFFF"/>
    <w:lvl w:ilvl="0">
      <w:start w:val="1"/>
      <w:numFmt w:val="none"/>
      <w:suff w:val="nothing"/>
      <w:lvlText w:val="ínea 4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11A2"/>
    <w:multiLevelType w:val="hybridMultilevel"/>
    <w:tmpl w:val="42B0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ED"/>
    <w:rsid w:val="0007479A"/>
    <w:rsid w:val="00976434"/>
    <w:rsid w:val="00C03CED"/>
    <w:rsid w:val="00EB5908"/>
    <w:rsid w:val="00F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618A8B-C562-4DB4-B66F-CA441648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C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908"/>
    <w:pPr>
      <w:spacing w:line="254" w:lineRule="auto"/>
      <w:ind w:left="720"/>
      <w:contextualSpacing/>
    </w:pPr>
  </w:style>
  <w:style w:type="paragraph" w:styleId="NormalWeb">
    <w:name w:val="Normal (Web)"/>
    <w:basedOn w:val="Normal"/>
    <w:unhideWhenUsed/>
    <w:qFormat/>
    <w:rsid w:val="0007479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Urda</dc:creator>
  <cp:keywords/>
  <dc:description/>
  <cp:lastModifiedBy>Hector Urda</cp:lastModifiedBy>
  <cp:revision>3</cp:revision>
  <dcterms:created xsi:type="dcterms:W3CDTF">2023-01-25T22:58:00Z</dcterms:created>
  <dcterms:modified xsi:type="dcterms:W3CDTF">2023-01-25T23:21:00Z</dcterms:modified>
</cp:coreProperties>
</file>