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DDF" w:rsidRPr="00BE7A16" w:rsidRDefault="00611DDF" w:rsidP="00BE7A16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8"/>
          <w:szCs w:val="24"/>
          <w:lang w:eastAsia="es-ES"/>
        </w:rPr>
      </w:pPr>
      <w:r w:rsidRPr="00BE7A16">
        <w:rPr>
          <w:rFonts w:ascii="Arial" w:eastAsia="Times New Roman" w:hAnsi="Arial" w:cs="Arial"/>
          <w:b/>
          <w:bCs/>
          <w:sz w:val="28"/>
          <w:szCs w:val="24"/>
          <w:lang w:eastAsia="es-ES"/>
        </w:rPr>
        <w:t>Información General Departamento de Posgrado e Investigaciones</w:t>
      </w:r>
    </w:p>
    <w:p w:rsidR="00611DDF" w:rsidRPr="00BE7A16" w:rsidRDefault="00611DDF" w:rsidP="00BE7A16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7A16">
        <w:rPr>
          <w:rFonts w:ascii="Arial" w:eastAsia="Times New Roman" w:hAnsi="Arial" w:cs="Arial"/>
          <w:sz w:val="24"/>
          <w:szCs w:val="24"/>
          <w:lang w:eastAsia="es-ES"/>
        </w:rPr>
        <w:t>El departamento tiene en su plantilla 7 plazas: 6 de metodólogos (formación académica, especialidades, superación, ciencia y técnica) y 1 de jefe de departamento.</w:t>
      </w:r>
    </w:p>
    <w:p w:rsidR="00611DDF" w:rsidRPr="00BE7A16" w:rsidRDefault="00611DDF" w:rsidP="00BE7A16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8"/>
          <w:szCs w:val="24"/>
          <w:lang w:eastAsia="es-ES"/>
        </w:rPr>
      </w:pPr>
      <w:r w:rsidRPr="00BE7A16">
        <w:rPr>
          <w:rFonts w:ascii="Arial" w:eastAsia="Times New Roman" w:hAnsi="Arial" w:cs="Arial"/>
          <w:b/>
          <w:bCs/>
          <w:sz w:val="28"/>
          <w:szCs w:val="24"/>
          <w:lang w:eastAsia="es-ES"/>
        </w:rPr>
        <w:t>Los integrantes del departamento son:</w:t>
      </w:r>
    </w:p>
    <w:tbl>
      <w:tblPr>
        <w:tblStyle w:val="Tabladecuadrcula5oscura-nfasis1"/>
        <w:tblW w:w="0" w:type="auto"/>
        <w:tblLook w:val="04A0" w:firstRow="1" w:lastRow="0" w:firstColumn="1" w:lastColumn="0" w:noHBand="0" w:noVBand="1"/>
      </w:tblPr>
      <w:tblGrid>
        <w:gridCol w:w="3673"/>
        <w:gridCol w:w="1884"/>
        <w:gridCol w:w="1392"/>
        <w:gridCol w:w="1545"/>
      </w:tblGrid>
      <w:tr w:rsidR="00611DDF" w:rsidRPr="00BE7A16" w:rsidTr="00611D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5" w:type="dxa"/>
            <w:shd w:val="clear" w:color="auto" w:fill="9CC2E5" w:themeFill="accent1" w:themeFillTint="99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:lang w:eastAsia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7A16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:lang w:eastAsia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Nombre y Apellidos</w:t>
            </w:r>
          </w:p>
        </w:tc>
        <w:tc>
          <w:tcPr>
            <w:tcW w:w="1815" w:type="dxa"/>
            <w:shd w:val="clear" w:color="auto" w:fill="9CC2E5" w:themeFill="accent1" w:themeFillTint="99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:lang w:eastAsia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7A16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:lang w:eastAsia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Grado/Maestría</w:t>
            </w:r>
          </w:p>
        </w:tc>
        <w:tc>
          <w:tcPr>
            <w:tcW w:w="1395" w:type="dxa"/>
            <w:shd w:val="clear" w:color="auto" w:fill="9CC2E5" w:themeFill="accent1" w:themeFillTint="99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:lang w:eastAsia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7A16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:lang w:eastAsia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Categoría docente</w:t>
            </w:r>
          </w:p>
        </w:tc>
        <w:tc>
          <w:tcPr>
            <w:tcW w:w="1545" w:type="dxa"/>
            <w:shd w:val="clear" w:color="auto" w:fill="9CC2E5" w:themeFill="accent1" w:themeFillTint="99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:lang w:eastAsia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7A16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:lang w:eastAsia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Categoría investigativa</w:t>
            </w:r>
          </w:p>
        </w:tc>
      </w:tr>
      <w:tr w:rsidR="00611DDF" w:rsidRPr="00BE7A16" w:rsidTr="00611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5" w:type="dxa"/>
            <w:shd w:val="clear" w:color="auto" w:fill="9CC2E5" w:themeFill="accent1" w:themeFillTint="99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s-ES"/>
              </w:rPr>
            </w:pPr>
            <w:proofErr w:type="spellStart"/>
            <w:r w:rsidRPr="00BE7A16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s-ES"/>
              </w:rPr>
              <w:t>Dra</w:t>
            </w:r>
            <w:proofErr w:type="spellEnd"/>
            <w:r w:rsidRPr="00BE7A16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s-ES"/>
              </w:rPr>
              <w:t xml:space="preserve"> Regla Cruz Segundo</w:t>
            </w:r>
          </w:p>
        </w:tc>
        <w:tc>
          <w:tcPr>
            <w:tcW w:w="181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MSc</w:t>
            </w:r>
          </w:p>
        </w:tc>
        <w:tc>
          <w:tcPr>
            <w:tcW w:w="139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Auxiliar</w:t>
            </w:r>
          </w:p>
        </w:tc>
        <w:tc>
          <w:tcPr>
            <w:tcW w:w="154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Auxiliar</w:t>
            </w:r>
          </w:p>
        </w:tc>
      </w:tr>
      <w:tr w:rsidR="00611DDF" w:rsidRPr="00BE7A16" w:rsidTr="00611D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5" w:type="dxa"/>
            <w:shd w:val="clear" w:color="auto" w:fill="9CC2E5" w:themeFill="accent1" w:themeFillTint="99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s-ES"/>
              </w:rPr>
              <w:t>Dra. Daysi Bencomo García</w:t>
            </w:r>
          </w:p>
        </w:tc>
        <w:tc>
          <w:tcPr>
            <w:tcW w:w="181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MSc</w:t>
            </w:r>
          </w:p>
        </w:tc>
        <w:tc>
          <w:tcPr>
            <w:tcW w:w="139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Auxiliar</w:t>
            </w:r>
          </w:p>
        </w:tc>
        <w:tc>
          <w:tcPr>
            <w:tcW w:w="154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Agregado</w:t>
            </w:r>
          </w:p>
        </w:tc>
      </w:tr>
      <w:tr w:rsidR="00611DDF" w:rsidRPr="00BE7A16" w:rsidTr="00611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5" w:type="dxa"/>
            <w:shd w:val="clear" w:color="auto" w:fill="9CC2E5" w:themeFill="accent1" w:themeFillTint="99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s-ES"/>
              </w:rPr>
            </w:pPr>
            <w:proofErr w:type="spellStart"/>
            <w:r w:rsidRPr="00BE7A16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s-ES"/>
              </w:rPr>
              <w:t>Lic</w:t>
            </w:r>
            <w:proofErr w:type="spellEnd"/>
            <w:r w:rsidRPr="00BE7A16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s-ES"/>
              </w:rPr>
              <w:t xml:space="preserve"> .</w:t>
            </w:r>
            <w:proofErr w:type="spellStart"/>
            <w:r w:rsidRPr="00BE7A16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s-ES"/>
              </w:rPr>
              <w:t>Niurka</w:t>
            </w:r>
            <w:proofErr w:type="spellEnd"/>
            <w:r w:rsidRPr="00BE7A16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BE7A16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s-ES"/>
              </w:rPr>
              <w:t>Hdez</w:t>
            </w:r>
            <w:proofErr w:type="spellEnd"/>
            <w:r w:rsidRPr="00BE7A16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s-ES"/>
              </w:rPr>
              <w:t xml:space="preserve"> Labrada</w:t>
            </w:r>
          </w:p>
        </w:tc>
        <w:tc>
          <w:tcPr>
            <w:tcW w:w="181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MSc</w:t>
            </w:r>
          </w:p>
        </w:tc>
        <w:tc>
          <w:tcPr>
            <w:tcW w:w="139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Auxiliar</w:t>
            </w:r>
          </w:p>
        </w:tc>
        <w:tc>
          <w:tcPr>
            <w:tcW w:w="154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Agregado</w:t>
            </w:r>
          </w:p>
        </w:tc>
      </w:tr>
      <w:tr w:rsidR="00611DDF" w:rsidRPr="00BE7A16" w:rsidTr="00611D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5" w:type="dxa"/>
            <w:shd w:val="clear" w:color="auto" w:fill="9CC2E5" w:themeFill="accent1" w:themeFillTint="99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s-ES"/>
              </w:rPr>
              <w:t>Lic. Margarita Rodríguez Báez</w:t>
            </w:r>
          </w:p>
        </w:tc>
        <w:tc>
          <w:tcPr>
            <w:tcW w:w="181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MSc</w:t>
            </w:r>
          </w:p>
        </w:tc>
        <w:tc>
          <w:tcPr>
            <w:tcW w:w="139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Auxiliar</w:t>
            </w:r>
          </w:p>
        </w:tc>
        <w:tc>
          <w:tcPr>
            <w:tcW w:w="154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</w:t>
            </w:r>
          </w:p>
        </w:tc>
      </w:tr>
      <w:tr w:rsidR="00611DDF" w:rsidRPr="00BE7A16" w:rsidTr="00611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5" w:type="dxa"/>
            <w:shd w:val="clear" w:color="auto" w:fill="9CC2E5" w:themeFill="accent1" w:themeFillTint="99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s-ES"/>
              </w:rPr>
            </w:pPr>
            <w:proofErr w:type="spellStart"/>
            <w:r w:rsidRPr="00BE7A16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s-ES"/>
              </w:rPr>
              <w:t>DrC</w:t>
            </w:r>
            <w:proofErr w:type="spellEnd"/>
            <w:r w:rsidRPr="00BE7A16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BE7A16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s-ES"/>
              </w:rPr>
              <w:t>Idrián</w:t>
            </w:r>
            <w:proofErr w:type="spellEnd"/>
            <w:r w:rsidRPr="00BE7A16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s-ES"/>
              </w:rPr>
              <w:t xml:space="preserve"> García </w:t>
            </w:r>
            <w:proofErr w:type="spellStart"/>
            <w:r w:rsidRPr="00BE7A16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s-ES"/>
              </w:rPr>
              <w:t>García</w:t>
            </w:r>
            <w:proofErr w:type="spellEnd"/>
          </w:p>
        </w:tc>
        <w:tc>
          <w:tcPr>
            <w:tcW w:w="181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Dr.C</w:t>
            </w:r>
          </w:p>
        </w:tc>
        <w:tc>
          <w:tcPr>
            <w:tcW w:w="139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Auxiliar</w:t>
            </w:r>
          </w:p>
        </w:tc>
        <w:tc>
          <w:tcPr>
            <w:tcW w:w="154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Titular</w:t>
            </w:r>
          </w:p>
        </w:tc>
      </w:tr>
      <w:tr w:rsidR="00611DDF" w:rsidRPr="00BE7A16" w:rsidTr="00611D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5" w:type="dxa"/>
            <w:shd w:val="clear" w:color="auto" w:fill="9CC2E5" w:themeFill="accent1" w:themeFillTint="99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s-ES"/>
              </w:rPr>
            </w:pPr>
            <w:proofErr w:type="spellStart"/>
            <w:r w:rsidRPr="00BE7A16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s-ES"/>
              </w:rPr>
              <w:t>DrC</w:t>
            </w:r>
            <w:proofErr w:type="spellEnd"/>
            <w:r w:rsidRPr="00BE7A16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s-ES"/>
              </w:rPr>
              <w:t xml:space="preserve"> Humberto Mendoza Rodríguez</w:t>
            </w:r>
          </w:p>
        </w:tc>
        <w:tc>
          <w:tcPr>
            <w:tcW w:w="181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Dr.C</w:t>
            </w:r>
          </w:p>
        </w:tc>
        <w:tc>
          <w:tcPr>
            <w:tcW w:w="139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Titular</w:t>
            </w:r>
          </w:p>
        </w:tc>
        <w:tc>
          <w:tcPr>
            <w:tcW w:w="154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Titular</w:t>
            </w:r>
          </w:p>
        </w:tc>
      </w:tr>
      <w:tr w:rsidR="00611DDF" w:rsidRPr="00BE7A16" w:rsidTr="00611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5" w:type="dxa"/>
            <w:shd w:val="clear" w:color="auto" w:fill="9CC2E5" w:themeFill="accent1" w:themeFillTint="99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s-ES"/>
              </w:rPr>
            </w:pPr>
            <w:proofErr w:type="spellStart"/>
            <w:r w:rsidRPr="00BE7A16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s-ES"/>
              </w:rPr>
              <w:t>DrC</w:t>
            </w:r>
            <w:proofErr w:type="spellEnd"/>
            <w:r w:rsidRPr="00BE7A16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s-ES"/>
              </w:rPr>
              <w:t xml:space="preserve"> Sergio González García</w:t>
            </w:r>
          </w:p>
        </w:tc>
        <w:tc>
          <w:tcPr>
            <w:tcW w:w="181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Dr.C</w:t>
            </w:r>
          </w:p>
        </w:tc>
        <w:tc>
          <w:tcPr>
            <w:tcW w:w="139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Titular</w:t>
            </w:r>
          </w:p>
        </w:tc>
        <w:tc>
          <w:tcPr>
            <w:tcW w:w="154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Titular</w:t>
            </w:r>
          </w:p>
        </w:tc>
      </w:tr>
    </w:tbl>
    <w:p w:rsidR="00611DDF" w:rsidRPr="00BE7A16" w:rsidRDefault="00611DDF" w:rsidP="00BE7A16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E7A16">
        <w:rPr>
          <w:rFonts w:ascii="Arial" w:eastAsia="Times New Roman" w:hAnsi="Arial" w:cs="Arial"/>
          <w:sz w:val="24"/>
          <w:szCs w:val="24"/>
          <w:lang w:eastAsia="es-ES"/>
        </w:rPr>
        <w:br/>
      </w:r>
      <w:r w:rsidRPr="00BE7A16">
        <w:rPr>
          <w:rFonts w:ascii="Arial" w:eastAsia="Times New Roman" w:hAnsi="Arial" w:cs="Arial"/>
          <w:b/>
          <w:sz w:val="28"/>
          <w:szCs w:val="24"/>
          <w:lang w:eastAsia="es-ES"/>
        </w:rPr>
        <w:t>Las tareas principales de los miembros del Departamento son:</w:t>
      </w:r>
    </w:p>
    <w:p w:rsidR="00611DDF" w:rsidRPr="00BE7A16" w:rsidRDefault="00611DDF" w:rsidP="00BE7A16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7A16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Área de Posgrado:</w:t>
      </w:r>
    </w:p>
    <w:p w:rsidR="00611DDF" w:rsidRPr="00BE7A16" w:rsidRDefault="00611DDF" w:rsidP="00BE7A16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7A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Especialidades:</w:t>
      </w:r>
    </w:p>
    <w:p w:rsidR="00611DDF" w:rsidRPr="00BE7A16" w:rsidRDefault="00611DDF" w:rsidP="00BE7A1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7A16">
        <w:rPr>
          <w:rFonts w:ascii="Arial" w:eastAsia="Times New Roman" w:hAnsi="Arial" w:cs="Arial"/>
          <w:sz w:val="24"/>
          <w:szCs w:val="24"/>
          <w:lang w:eastAsia="es-ES"/>
        </w:rPr>
        <w:t>Controlar el cumplimiento de los cronogramas académicos</w:t>
      </w:r>
    </w:p>
    <w:p w:rsidR="00611DDF" w:rsidRPr="00BE7A16" w:rsidRDefault="00611DDF" w:rsidP="00BE7A1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7A16">
        <w:rPr>
          <w:rFonts w:ascii="Arial" w:eastAsia="Times New Roman" w:hAnsi="Arial" w:cs="Arial"/>
          <w:sz w:val="24"/>
          <w:szCs w:val="24"/>
          <w:lang w:eastAsia="es-ES"/>
        </w:rPr>
        <w:t>Controlar los planes de formación de los residentes</w:t>
      </w:r>
    </w:p>
    <w:p w:rsidR="00611DDF" w:rsidRPr="00BE7A16" w:rsidRDefault="00611DDF" w:rsidP="00BE7A1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7A16">
        <w:rPr>
          <w:rFonts w:ascii="Arial" w:eastAsia="Times New Roman" w:hAnsi="Arial" w:cs="Arial"/>
          <w:sz w:val="24"/>
          <w:szCs w:val="24"/>
          <w:lang w:eastAsia="es-ES"/>
        </w:rPr>
        <w:t>Planificación de exámenes de suficiencia</w:t>
      </w:r>
    </w:p>
    <w:p w:rsidR="00611DDF" w:rsidRPr="00BE7A16" w:rsidRDefault="00611DDF" w:rsidP="00BE7A1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7A16">
        <w:rPr>
          <w:rFonts w:ascii="Arial" w:eastAsia="Times New Roman" w:hAnsi="Arial" w:cs="Arial"/>
          <w:sz w:val="24"/>
          <w:szCs w:val="24"/>
          <w:lang w:eastAsia="es-ES"/>
        </w:rPr>
        <w:t>Organización de los Exámenes de Promoción y Exámenes Estatales</w:t>
      </w:r>
    </w:p>
    <w:p w:rsidR="00611DDF" w:rsidRPr="00BE7A16" w:rsidRDefault="00611DDF" w:rsidP="00BE7A1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7A16">
        <w:rPr>
          <w:rFonts w:ascii="Arial" w:eastAsia="Times New Roman" w:hAnsi="Arial" w:cs="Arial"/>
          <w:sz w:val="24"/>
          <w:szCs w:val="24"/>
          <w:lang w:eastAsia="es-ES"/>
        </w:rPr>
        <w:t>Revisión de expedientes de segundo grado de profesores</w:t>
      </w:r>
    </w:p>
    <w:p w:rsidR="00611DDF" w:rsidRPr="00BE7A16" w:rsidRDefault="00611DDF" w:rsidP="00BE7A1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7A16">
        <w:rPr>
          <w:rFonts w:ascii="Arial" w:eastAsia="Times New Roman" w:hAnsi="Arial" w:cs="Arial"/>
          <w:sz w:val="24"/>
          <w:szCs w:val="24"/>
          <w:lang w:eastAsia="es-ES"/>
        </w:rPr>
        <w:t>Certificación de los escenarios docentes</w:t>
      </w:r>
    </w:p>
    <w:p w:rsidR="00611DDF" w:rsidRPr="00BE7A16" w:rsidRDefault="00611DDF" w:rsidP="00BE7A1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7A16">
        <w:rPr>
          <w:rFonts w:ascii="Arial" w:eastAsia="Times New Roman" w:hAnsi="Arial" w:cs="Arial"/>
          <w:sz w:val="24"/>
          <w:szCs w:val="24"/>
          <w:lang w:eastAsia="es-ES"/>
        </w:rPr>
        <w:t>Controlar el proceso de formación académica en los diferentes escenarios</w:t>
      </w:r>
    </w:p>
    <w:p w:rsidR="00611DDF" w:rsidRPr="00BE7A16" w:rsidRDefault="00611DDF" w:rsidP="00BE7A1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7A16">
        <w:rPr>
          <w:rFonts w:ascii="Arial" w:eastAsia="Times New Roman" w:hAnsi="Arial" w:cs="Arial"/>
          <w:sz w:val="24"/>
          <w:szCs w:val="24"/>
          <w:lang w:eastAsia="es-ES"/>
        </w:rPr>
        <w:t>Control de las rotaciones hospitalarias</w:t>
      </w:r>
    </w:p>
    <w:p w:rsidR="00611DDF" w:rsidRPr="00BE7A16" w:rsidRDefault="00611DDF" w:rsidP="00BE7A1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7A16">
        <w:rPr>
          <w:rFonts w:ascii="Arial" w:eastAsia="Times New Roman" w:hAnsi="Arial" w:cs="Arial"/>
          <w:sz w:val="24"/>
          <w:szCs w:val="24"/>
          <w:lang w:eastAsia="es-ES"/>
        </w:rPr>
        <w:t>Brindar asesoramiento metodológico a los profesores principales</w:t>
      </w:r>
    </w:p>
    <w:p w:rsidR="00611DDF" w:rsidRPr="00BE7A16" w:rsidRDefault="00611DDF" w:rsidP="00BE7A1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7A16">
        <w:rPr>
          <w:rFonts w:ascii="Arial" w:eastAsia="Times New Roman" w:hAnsi="Arial" w:cs="Arial"/>
          <w:sz w:val="24"/>
          <w:szCs w:val="24"/>
          <w:lang w:eastAsia="es-ES"/>
        </w:rPr>
        <w:t>Participación en asesorías e inspecciones programadas</w:t>
      </w:r>
    </w:p>
    <w:p w:rsidR="00611DDF" w:rsidRPr="00BE7A16" w:rsidRDefault="00611DDF" w:rsidP="00BE7A16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7A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 Superación:</w:t>
      </w:r>
    </w:p>
    <w:p w:rsidR="00611DDF" w:rsidRPr="00BE7A16" w:rsidRDefault="00611DDF" w:rsidP="00BE7A16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7A16">
        <w:rPr>
          <w:rFonts w:ascii="Arial" w:eastAsia="Times New Roman" w:hAnsi="Arial" w:cs="Arial"/>
          <w:sz w:val="24"/>
          <w:szCs w:val="24"/>
          <w:lang w:eastAsia="es-ES"/>
        </w:rPr>
        <w:t>Confeccionar el Plan de Superación a partir de las INA</w:t>
      </w:r>
    </w:p>
    <w:p w:rsidR="00611DDF" w:rsidRPr="00BE7A16" w:rsidRDefault="00611DDF" w:rsidP="00BE7A16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7A16">
        <w:rPr>
          <w:rFonts w:ascii="Arial" w:eastAsia="Times New Roman" w:hAnsi="Arial" w:cs="Arial"/>
          <w:sz w:val="24"/>
          <w:szCs w:val="24"/>
          <w:lang w:eastAsia="es-ES"/>
        </w:rPr>
        <w:t>Actualización potencial profesional que labora en los escenarios facultad</w:t>
      </w:r>
    </w:p>
    <w:p w:rsidR="00611DDF" w:rsidRPr="00BE7A16" w:rsidRDefault="00611DDF" w:rsidP="00BE7A16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7A16">
        <w:rPr>
          <w:rFonts w:ascii="Arial" w:eastAsia="Times New Roman" w:hAnsi="Arial" w:cs="Arial"/>
          <w:sz w:val="24"/>
          <w:szCs w:val="24"/>
          <w:lang w:eastAsia="es-ES"/>
        </w:rPr>
        <w:t>Seguimiento al Plan de Superación a través de visitas a las Unidades de Salud.</w:t>
      </w:r>
    </w:p>
    <w:p w:rsidR="00611DDF" w:rsidRPr="00BE7A16" w:rsidRDefault="00611DDF" w:rsidP="00BE7A16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7A16">
        <w:rPr>
          <w:rFonts w:ascii="Arial" w:eastAsia="Times New Roman" w:hAnsi="Arial" w:cs="Arial"/>
          <w:sz w:val="24"/>
          <w:szCs w:val="24"/>
          <w:lang w:eastAsia="es-ES"/>
        </w:rPr>
        <w:lastRenderedPageBreak/>
        <w:t>Revisión de la calidad metodológica de expedientes de las actividades de superación</w:t>
      </w:r>
    </w:p>
    <w:p w:rsidR="00611DDF" w:rsidRPr="00BE7A16" w:rsidRDefault="00611DDF" w:rsidP="00BE7A16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7A16">
        <w:rPr>
          <w:rFonts w:ascii="Arial" w:eastAsia="Times New Roman" w:hAnsi="Arial" w:cs="Arial"/>
          <w:sz w:val="24"/>
          <w:szCs w:val="24"/>
          <w:lang w:eastAsia="es-ES"/>
        </w:rPr>
        <w:t>Coordinar Talleres Metodológicos de Superación Profesional Municipales</w:t>
      </w:r>
    </w:p>
    <w:p w:rsidR="00611DDF" w:rsidRPr="00BE7A16" w:rsidRDefault="00611DDF" w:rsidP="00BE7A16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7A16">
        <w:rPr>
          <w:rFonts w:ascii="Arial" w:eastAsia="Times New Roman" w:hAnsi="Arial" w:cs="Arial"/>
          <w:sz w:val="24"/>
          <w:szCs w:val="24"/>
          <w:lang w:eastAsia="es-ES"/>
        </w:rPr>
        <w:t>Tramitar la acreditación de las actividades de superación</w:t>
      </w:r>
    </w:p>
    <w:p w:rsidR="00611DDF" w:rsidRPr="00BE7A16" w:rsidRDefault="00611DDF" w:rsidP="00BE7A16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7A16">
        <w:rPr>
          <w:rFonts w:ascii="Arial" w:eastAsia="Times New Roman" w:hAnsi="Arial" w:cs="Arial"/>
          <w:sz w:val="24"/>
          <w:szCs w:val="24"/>
          <w:lang w:eastAsia="es-ES"/>
        </w:rPr>
        <w:t>Revisión de instrumentos evaluativos de la Competencia y el Desempeño Profesional</w:t>
      </w:r>
    </w:p>
    <w:p w:rsidR="00611DDF" w:rsidRPr="00BE7A16" w:rsidRDefault="00611DDF" w:rsidP="00BE7A16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7A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 Gado y Maestrías:</w:t>
      </w:r>
    </w:p>
    <w:p w:rsidR="00611DDF" w:rsidRPr="00BE7A16" w:rsidRDefault="00611DDF" w:rsidP="00BE7A16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7A16">
        <w:rPr>
          <w:rFonts w:ascii="Arial" w:eastAsia="Times New Roman" w:hAnsi="Arial" w:cs="Arial"/>
          <w:sz w:val="24"/>
          <w:szCs w:val="24"/>
          <w:lang w:eastAsia="es-ES"/>
        </w:rPr>
        <w:t>Diseño y control de la Estrategia Doctoral</w:t>
      </w:r>
    </w:p>
    <w:p w:rsidR="00611DDF" w:rsidRPr="00BE7A16" w:rsidRDefault="00611DDF" w:rsidP="00BE7A16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7A16">
        <w:rPr>
          <w:rFonts w:ascii="Arial" w:eastAsia="Times New Roman" w:hAnsi="Arial" w:cs="Arial"/>
          <w:sz w:val="24"/>
          <w:szCs w:val="24"/>
          <w:lang w:eastAsia="es-ES"/>
        </w:rPr>
        <w:t>Supervisión de las Maestrías de Desempeño</w:t>
      </w:r>
    </w:p>
    <w:p w:rsidR="00611DDF" w:rsidRPr="00BE7A16" w:rsidRDefault="00611DDF" w:rsidP="00BE7A16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7A16">
        <w:rPr>
          <w:rFonts w:ascii="Arial" w:eastAsia="Times New Roman" w:hAnsi="Arial" w:cs="Arial"/>
          <w:sz w:val="24"/>
          <w:szCs w:val="24"/>
          <w:lang w:eastAsia="es-ES"/>
        </w:rPr>
        <w:t>Asesoría a profesores para su maestría y/o doctorado</w:t>
      </w:r>
    </w:p>
    <w:p w:rsidR="00611DDF" w:rsidRPr="00BE7A16" w:rsidRDefault="00611DDF" w:rsidP="00BE7A16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7A16">
        <w:rPr>
          <w:rFonts w:ascii="Arial" w:eastAsia="Times New Roman" w:hAnsi="Arial" w:cs="Arial"/>
          <w:sz w:val="24"/>
          <w:szCs w:val="24"/>
          <w:lang w:eastAsia="es-ES"/>
        </w:rPr>
        <w:t>Control de las actas de los comités académicos de maestría</w:t>
      </w:r>
    </w:p>
    <w:p w:rsidR="00611DDF" w:rsidRPr="00BE7A16" w:rsidRDefault="00611DDF" w:rsidP="00BE7A16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7A16">
        <w:rPr>
          <w:rFonts w:ascii="Arial" w:eastAsia="Times New Roman" w:hAnsi="Arial" w:cs="Arial"/>
          <w:sz w:val="24"/>
          <w:szCs w:val="24"/>
          <w:lang w:eastAsia="es-ES"/>
        </w:rPr>
        <w:t>Revisión de proyectos de investigación con salida doctoral</w:t>
      </w:r>
    </w:p>
    <w:p w:rsidR="00611DDF" w:rsidRPr="00BE7A16" w:rsidRDefault="00611DDF" w:rsidP="00BE7A16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7A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 </w:t>
      </w:r>
      <w:r w:rsidRPr="00BE7A16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Área de Investigaciones:</w:t>
      </w:r>
    </w:p>
    <w:p w:rsidR="00611DDF" w:rsidRPr="00BE7A16" w:rsidRDefault="00611DDF" w:rsidP="00BE7A1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7A16">
        <w:rPr>
          <w:rFonts w:ascii="Arial" w:eastAsia="Times New Roman" w:hAnsi="Arial" w:cs="Arial"/>
          <w:sz w:val="24"/>
          <w:szCs w:val="24"/>
          <w:lang w:eastAsia="es-ES"/>
        </w:rPr>
        <w:t>Control a escenarios para chequear ejecución de proyectos</w:t>
      </w:r>
    </w:p>
    <w:p w:rsidR="00611DDF" w:rsidRPr="00BE7A16" w:rsidRDefault="00611DDF" w:rsidP="00BE7A1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7A16">
        <w:rPr>
          <w:rFonts w:ascii="Arial" w:eastAsia="Times New Roman" w:hAnsi="Arial" w:cs="Arial"/>
          <w:sz w:val="24"/>
          <w:szCs w:val="24"/>
          <w:lang w:eastAsia="es-ES"/>
        </w:rPr>
        <w:t>Asesorar metodológicamente la confección de proyectos de investigación</w:t>
      </w:r>
    </w:p>
    <w:p w:rsidR="00611DDF" w:rsidRPr="00BE7A16" w:rsidRDefault="00611DDF" w:rsidP="00BE7A1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7A16">
        <w:rPr>
          <w:rFonts w:ascii="Arial" w:eastAsia="Times New Roman" w:hAnsi="Arial" w:cs="Arial"/>
          <w:sz w:val="24"/>
          <w:szCs w:val="24"/>
          <w:lang w:eastAsia="es-ES"/>
        </w:rPr>
        <w:t>Actualización del registro de investigadores</w:t>
      </w:r>
    </w:p>
    <w:p w:rsidR="00611DDF" w:rsidRPr="00BE7A16" w:rsidRDefault="00611DDF" w:rsidP="00BE7A1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7A16">
        <w:rPr>
          <w:rFonts w:ascii="Arial" w:eastAsia="Times New Roman" w:hAnsi="Arial" w:cs="Arial"/>
          <w:sz w:val="24"/>
          <w:szCs w:val="24"/>
          <w:lang w:eastAsia="es-ES"/>
        </w:rPr>
        <w:t>Chequeo de los servicios científico-técnico</w:t>
      </w:r>
    </w:p>
    <w:p w:rsidR="00611DDF" w:rsidRPr="00BE7A16" w:rsidRDefault="00611DDF" w:rsidP="00BE7A1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7A16">
        <w:rPr>
          <w:rFonts w:ascii="Arial" w:eastAsia="Times New Roman" w:hAnsi="Arial" w:cs="Arial"/>
          <w:sz w:val="24"/>
          <w:szCs w:val="24"/>
          <w:lang w:eastAsia="es-ES"/>
        </w:rPr>
        <w:t>Seguimiento de las investigaciones y los ensayos clínicos</w:t>
      </w:r>
    </w:p>
    <w:p w:rsidR="00611DDF" w:rsidRPr="00BE7A16" w:rsidRDefault="00611DDF" w:rsidP="00BE7A1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7A16">
        <w:rPr>
          <w:rFonts w:ascii="Arial" w:eastAsia="Times New Roman" w:hAnsi="Arial" w:cs="Arial"/>
          <w:sz w:val="24"/>
          <w:szCs w:val="24"/>
          <w:lang w:eastAsia="es-ES"/>
        </w:rPr>
        <w:t>Chequeo de los servicios científico-técnico</w:t>
      </w:r>
    </w:p>
    <w:p w:rsidR="00611DDF" w:rsidRPr="00BE7A16" w:rsidRDefault="00611DDF" w:rsidP="00BE7A1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7A16">
        <w:rPr>
          <w:rFonts w:ascii="Arial" w:eastAsia="Times New Roman" w:hAnsi="Arial" w:cs="Arial"/>
          <w:sz w:val="24"/>
          <w:szCs w:val="24"/>
          <w:lang w:eastAsia="es-ES"/>
        </w:rPr>
        <w:t>Actualización del registro de investigadores</w:t>
      </w:r>
    </w:p>
    <w:p w:rsidR="00611DDF" w:rsidRPr="00BE7A16" w:rsidRDefault="00611DDF" w:rsidP="00BE7A1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7A16">
        <w:rPr>
          <w:rFonts w:ascii="Arial" w:eastAsia="Times New Roman" w:hAnsi="Arial" w:cs="Arial"/>
          <w:sz w:val="24"/>
          <w:szCs w:val="24"/>
          <w:lang w:eastAsia="es-ES"/>
        </w:rPr>
        <w:t>Funcionamiento y control del Comité de Ética de la Investigación</w:t>
      </w:r>
    </w:p>
    <w:p w:rsidR="00611DDF" w:rsidRPr="00BE7A16" w:rsidRDefault="00611DDF" w:rsidP="00BE7A1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7A16">
        <w:rPr>
          <w:rFonts w:ascii="Arial" w:eastAsia="Times New Roman" w:hAnsi="Arial" w:cs="Arial"/>
          <w:sz w:val="24"/>
          <w:szCs w:val="24"/>
          <w:lang w:eastAsia="es-ES"/>
        </w:rPr>
        <w:t>Participación en asesorías e inspecciones programadas</w:t>
      </w:r>
    </w:p>
    <w:p w:rsidR="00611DDF" w:rsidRPr="00BE7A16" w:rsidRDefault="00611DDF" w:rsidP="00BE7A16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7A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Las principales actividades organizadas y controladas por el Departamento son</w:t>
      </w:r>
      <w:r w:rsidRPr="00BE7A16">
        <w:rPr>
          <w:rFonts w:ascii="Arial" w:eastAsia="Times New Roman" w:hAnsi="Arial" w:cs="Arial"/>
          <w:sz w:val="24"/>
          <w:szCs w:val="24"/>
          <w:lang w:eastAsia="es-ES"/>
        </w:rPr>
        <w:t>:</w:t>
      </w:r>
    </w:p>
    <w:tbl>
      <w:tblPr>
        <w:tblStyle w:val="Tabladecuadrcula4-nfasis5"/>
        <w:tblW w:w="0" w:type="auto"/>
        <w:tblLook w:val="04A0" w:firstRow="1" w:lastRow="0" w:firstColumn="1" w:lastColumn="0" w:noHBand="0" w:noVBand="1"/>
      </w:tblPr>
      <w:tblGrid>
        <w:gridCol w:w="4245"/>
        <w:gridCol w:w="4245"/>
      </w:tblGrid>
      <w:tr w:rsidR="00611DDF" w:rsidRPr="00BE7A16" w:rsidTr="00611D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shd w:val="clear" w:color="auto" w:fill="5B9BD5" w:themeFill="accent1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color w:val="auto"/>
                <w:sz w:val="28"/>
                <w:szCs w:val="24"/>
                <w:lang w:eastAsia="es-ES"/>
              </w:rPr>
              <w:t>Posgrado</w:t>
            </w:r>
          </w:p>
        </w:tc>
        <w:tc>
          <w:tcPr>
            <w:tcW w:w="4245" w:type="dxa"/>
            <w:shd w:val="clear" w:color="auto" w:fill="5B9BD5" w:themeFill="accent1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color w:val="auto"/>
                <w:sz w:val="28"/>
                <w:szCs w:val="24"/>
                <w:lang w:eastAsia="es-ES"/>
              </w:rPr>
              <w:t>Investigaciones</w:t>
            </w:r>
          </w:p>
        </w:tc>
      </w:tr>
      <w:tr w:rsidR="00611DDF" w:rsidRPr="00BE7A16" w:rsidTr="00611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rPr>
                <w:rFonts w:ascii="Arial" w:eastAsia="Times New Roman" w:hAnsi="Arial" w:cs="Arial"/>
                <w:b w:val="0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b w:val="0"/>
                <w:sz w:val="24"/>
                <w:szCs w:val="24"/>
                <w:lang w:eastAsia="es-ES"/>
              </w:rPr>
              <w:t>Jornada Científica de Residentes</w:t>
            </w:r>
          </w:p>
        </w:tc>
        <w:tc>
          <w:tcPr>
            <w:tcW w:w="424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Fórum de Ciencia y Técnica</w:t>
            </w:r>
          </w:p>
        </w:tc>
      </w:tr>
      <w:tr w:rsidR="00611DDF" w:rsidRPr="00BE7A16" w:rsidTr="00611D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rPr>
                <w:rFonts w:ascii="Arial" w:eastAsia="Times New Roman" w:hAnsi="Arial" w:cs="Arial"/>
                <w:b w:val="0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b w:val="0"/>
                <w:sz w:val="24"/>
                <w:szCs w:val="24"/>
                <w:lang w:eastAsia="es-ES"/>
              </w:rPr>
              <w:t>Talleres de tesis de residentes</w:t>
            </w:r>
          </w:p>
        </w:tc>
        <w:tc>
          <w:tcPr>
            <w:tcW w:w="424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Sistema de Talleres de Investigación</w:t>
            </w:r>
          </w:p>
        </w:tc>
      </w:tr>
      <w:tr w:rsidR="00611DDF" w:rsidRPr="00BE7A16" w:rsidTr="00611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rPr>
                <w:rFonts w:ascii="Arial" w:eastAsia="Times New Roman" w:hAnsi="Arial" w:cs="Arial"/>
                <w:b w:val="0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b w:val="0"/>
                <w:sz w:val="24"/>
                <w:szCs w:val="24"/>
                <w:lang w:eastAsia="es-ES"/>
              </w:rPr>
              <w:t>Plenaria de Investigaciones de residentes</w:t>
            </w:r>
          </w:p>
        </w:tc>
        <w:tc>
          <w:tcPr>
            <w:tcW w:w="424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Diplomado de Investigaciones</w:t>
            </w:r>
          </w:p>
        </w:tc>
      </w:tr>
      <w:tr w:rsidR="00611DDF" w:rsidRPr="00BE7A16" w:rsidTr="00611D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24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Evento de base de la ANIR</w:t>
            </w:r>
          </w:p>
        </w:tc>
      </w:tr>
      <w:tr w:rsidR="00611DDF" w:rsidRPr="00BE7A16" w:rsidTr="00611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24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Concurso de Investigación Científica</w:t>
            </w:r>
          </w:p>
        </w:tc>
      </w:tr>
    </w:tbl>
    <w:p w:rsidR="00611DDF" w:rsidRPr="00BE7A16" w:rsidRDefault="00611DDF" w:rsidP="00BE7A16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7A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Escenarios acreditados para la formación de Posgrado</w:t>
      </w:r>
    </w:p>
    <w:p w:rsidR="003922C2" w:rsidRPr="00BE7A16" w:rsidRDefault="00611DDF" w:rsidP="00BE7A16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7A16">
        <w:rPr>
          <w:rFonts w:ascii="Arial" w:eastAsia="Times New Roman" w:hAnsi="Arial" w:cs="Arial"/>
          <w:sz w:val="24"/>
          <w:szCs w:val="24"/>
          <w:lang w:eastAsia="es-ES"/>
        </w:rPr>
        <w:t xml:space="preserve">La formación de posgrado en la FCM Miguel Enríquez se realiza en 4 municipios de la provincia (Regla, Guanabacoa, San Miguel del Padrón y Cotorro) y para su desarrollo se encuentran acreditados un total de 18 escenarios docentes, distribuidos en cuatro hospitales (Hospital Docente “Dr. Miguel Enríquez”, </w:t>
      </w:r>
      <w:r w:rsidRPr="00BE7A16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Hospital </w:t>
      </w:r>
      <w:proofErr w:type="spellStart"/>
      <w:r w:rsidRPr="00BE7A16">
        <w:rPr>
          <w:rFonts w:ascii="Arial" w:eastAsia="Times New Roman" w:hAnsi="Arial" w:cs="Arial"/>
          <w:sz w:val="24"/>
          <w:szCs w:val="24"/>
          <w:lang w:eastAsia="es-ES"/>
        </w:rPr>
        <w:t>Ginecobstétrico</w:t>
      </w:r>
      <w:proofErr w:type="spellEnd"/>
      <w:r w:rsidRPr="00BE7A16">
        <w:rPr>
          <w:rFonts w:ascii="Arial" w:eastAsia="Times New Roman" w:hAnsi="Arial" w:cs="Arial"/>
          <w:sz w:val="24"/>
          <w:szCs w:val="24"/>
          <w:lang w:eastAsia="es-ES"/>
        </w:rPr>
        <w:t xml:space="preserve"> de Guanabacoa, Hospital Pediátrico de San Miguel del Padrón, Hospital Nacional de Internos),  dos clínicas estomatológicas (Yuri Gómez y Efraín Mayor), 11 servicios de estomatología en policlínicos, 13 policlínicos, 375 consultorios y 12 otros centros que incluyen hogares maternos, centros de salud mental, hogares de ancianos, Hospital Psiquiátrico e ins</w:t>
      </w:r>
      <w:r w:rsidR="00BE7A16">
        <w:rPr>
          <w:rFonts w:ascii="Arial" w:eastAsia="Times New Roman" w:hAnsi="Arial" w:cs="Arial"/>
          <w:sz w:val="24"/>
          <w:szCs w:val="24"/>
          <w:lang w:eastAsia="es-ES"/>
        </w:rPr>
        <w:t>tituciones penales del MININT).</w:t>
      </w:r>
      <w:bookmarkStart w:id="0" w:name="_GoBack"/>
      <w:bookmarkEnd w:id="0"/>
    </w:p>
    <w:p w:rsidR="00611DDF" w:rsidRPr="00BE7A16" w:rsidRDefault="00611DDF" w:rsidP="00BE7A16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7A16">
        <w:rPr>
          <w:rFonts w:ascii="Arial" w:eastAsia="Times New Roman" w:hAnsi="Arial" w:cs="Arial"/>
          <w:sz w:val="24"/>
          <w:szCs w:val="24"/>
          <w:lang w:eastAsia="es-ES"/>
        </w:rPr>
        <w:t>Se encuentran autorizadas para la formación en la facultad</w:t>
      </w:r>
      <w:r w:rsidRPr="00BE7A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19</w:t>
      </w:r>
      <w:r w:rsidRPr="00BE7A16">
        <w:rPr>
          <w:rFonts w:ascii="Arial" w:eastAsia="Times New Roman" w:hAnsi="Arial" w:cs="Arial"/>
          <w:sz w:val="24"/>
          <w:szCs w:val="24"/>
          <w:lang w:eastAsia="es-ES"/>
        </w:rPr>
        <w:t xml:space="preserve"> especialidades, de ellas 15 médicas, tres estomatológicas, y una de psicología, todas de forma total. Las especialidades y sus escenarios son las siguientes:</w:t>
      </w:r>
    </w:p>
    <w:tbl>
      <w:tblPr>
        <w:tblStyle w:val="Tabladecuadrcula4-nfasis5"/>
        <w:tblW w:w="8715" w:type="dxa"/>
        <w:tblLook w:val="04A0" w:firstRow="1" w:lastRow="0" w:firstColumn="1" w:lastColumn="0" w:noHBand="0" w:noVBand="1"/>
      </w:tblPr>
      <w:tblGrid>
        <w:gridCol w:w="526"/>
        <w:gridCol w:w="2690"/>
        <w:gridCol w:w="2269"/>
        <w:gridCol w:w="1412"/>
        <w:gridCol w:w="1818"/>
      </w:tblGrid>
      <w:tr w:rsidR="00611DDF" w:rsidRPr="00BE7A16" w:rsidTr="00BE7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es-ES"/>
              </w:rPr>
              <w:t>No</w:t>
            </w:r>
          </w:p>
        </w:tc>
        <w:tc>
          <w:tcPr>
            <w:tcW w:w="268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es-ES"/>
              </w:rPr>
              <w:t>APS</w:t>
            </w:r>
          </w:p>
        </w:tc>
        <w:tc>
          <w:tcPr>
            <w:tcW w:w="226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es-ES"/>
              </w:rPr>
              <w:t>HDME</w:t>
            </w:r>
          </w:p>
        </w:tc>
        <w:tc>
          <w:tcPr>
            <w:tcW w:w="1410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es-ES"/>
              </w:rPr>
              <w:t>HPSMP</w:t>
            </w:r>
          </w:p>
        </w:tc>
        <w:tc>
          <w:tcPr>
            <w:tcW w:w="181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es-ES"/>
              </w:rPr>
              <w:t>HGOG</w:t>
            </w:r>
          </w:p>
        </w:tc>
      </w:tr>
      <w:tr w:rsidR="00611DDF" w:rsidRPr="00BE7A16" w:rsidTr="00BE7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rPr>
                <w:rFonts w:ascii="Arial" w:eastAsia="Times New Roman" w:hAnsi="Arial" w:cs="Arial"/>
                <w:b w:val="0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b w:val="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68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MGI</w:t>
            </w:r>
          </w:p>
        </w:tc>
        <w:tc>
          <w:tcPr>
            <w:tcW w:w="226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Anatomía Patológica</w:t>
            </w:r>
          </w:p>
        </w:tc>
        <w:tc>
          <w:tcPr>
            <w:tcW w:w="1410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Pediatría</w:t>
            </w:r>
          </w:p>
        </w:tc>
        <w:tc>
          <w:tcPr>
            <w:tcW w:w="181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GOB</w:t>
            </w:r>
          </w:p>
        </w:tc>
      </w:tr>
      <w:tr w:rsidR="00611DDF" w:rsidRPr="00BE7A16" w:rsidTr="00BE7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rPr>
                <w:rFonts w:ascii="Arial" w:eastAsia="Times New Roman" w:hAnsi="Arial" w:cs="Arial"/>
                <w:b w:val="0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b w:val="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68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EGI</w:t>
            </w:r>
          </w:p>
        </w:tc>
        <w:tc>
          <w:tcPr>
            <w:tcW w:w="226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Anestesia</w:t>
            </w:r>
          </w:p>
        </w:tc>
        <w:tc>
          <w:tcPr>
            <w:tcW w:w="1410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1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Neonatología</w:t>
            </w:r>
          </w:p>
        </w:tc>
      </w:tr>
      <w:tr w:rsidR="00611DDF" w:rsidRPr="00BE7A16" w:rsidTr="00BE7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rPr>
                <w:rFonts w:ascii="Arial" w:eastAsia="Times New Roman" w:hAnsi="Arial" w:cs="Arial"/>
                <w:b w:val="0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b w:val="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268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Psicología de la salud</w:t>
            </w:r>
          </w:p>
        </w:tc>
        <w:tc>
          <w:tcPr>
            <w:tcW w:w="226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Cirugía general</w:t>
            </w:r>
          </w:p>
        </w:tc>
        <w:tc>
          <w:tcPr>
            <w:tcW w:w="1410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1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</w:tr>
      <w:tr w:rsidR="00611DDF" w:rsidRPr="00BE7A16" w:rsidTr="00BE7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rPr>
                <w:rFonts w:ascii="Arial" w:eastAsia="Times New Roman" w:hAnsi="Arial" w:cs="Arial"/>
                <w:b w:val="0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b w:val="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268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Prótesis estomatológica</w:t>
            </w:r>
          </w:p>
        </w:tc>
        <w:tc>
          <w:tcPr>
            <w:tcW w:w="226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CPC</w:t>
            </w:r>
          </w:p>
        </w:tc>
        <w:tc>
          <w:tcPr>
            <w:tcW w:w="1410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1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</w:tr>
      <w:tr w:rsidR="00611DDF" w:rsidRPr="00BE7A16" w:rsidTr="00BE7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rPr>
                <w:rFonts w:ascii="Arial" w:eastAsia="Times New Roman" w:hAnsi="Arial" w:cs="Arial"/>
                <w:b w:val="0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b w:val="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268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6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Dermatología</w:t>
            </w:r>
          </w:p>
        </w:tc>
        <w:tc>
          <w:tcPr>
            <w:tcW w:w="1410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1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</w:tr>
      <w:tr w:rsidR="00611DDF" w:rsidRPr="00BE7A16" w:rsidTr="00BE7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rPr>
                <w:rFonts w:ascii="Arial" w:eastAsia="Times New Roman" w:hAnsi="Arial" w:cs="Arial"/>
                <w:b w:val="0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b w:val="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268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6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Maxilofacial</w:t>
            </w:r>
          </w:p>
        </w:tc>
        <w:tc>
          <w:tcPr>
            <w:tcW w:w="1410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1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</w:tr>
      <w:tr w:rsidR="00611DDF" w:rsidRPr="00BE7A16" w:rsidTr="00BE7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rPr>
                <w:rFonts w:ascii="Arial" w:eastAsia="Times New Roman" w:hAnsi="Arial" w:cs="Arial"/>
                <w:b w:val="0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b w:val="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268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6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MI</w:t>
            </w:r>
          </w:p>
        </w:tc>
        <w:tc>
          <w:tcPr>
            <w:tcW w:w="1410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1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</w:tr>
      <w:tr w:rsidR="00611DDF" w:rsidRPr="00BE7A16" w:rsidTr="00BE7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rPr>
                <w:rFonts w:ascii="Arial" w:eastAsia="Times New Roman" w:hAnsi="Arial" w:cs="Arial"/>
                <w:b w:val="0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b w:val="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268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6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MIE</w:t>
            </w:r>
          </w:p>
        </w:tc>
        <w:tc>
          <w:tcPr>
            <w:tcW w:w="1410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1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</w:tr>
      <w:tr w:rsidR="00611DDF" w:rsidRPr="00BE7A16" w:rsidTr="00BE7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rPr>
                <w:rFonts w:ascii="Arial" w:eastAsia="Times New Roman" w:hAnsi="Arial" w:cs="Arial"/>
                <w:b w:val="0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b w:val="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268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6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Neurocirugía</w:t>
            </w:r>
          </w:p>
        </w:tc>
        <w:tc>
          <w:tcPr>
            <w:tcW w:w="1410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1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</w:tr>
      <w:tr w:rsidR="00611DDF" w:rsidRPr="00BE7A16" w:rsidTr="00BE7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rPr>
                <w:rFonts w:ascii="Arial" w:eastAsia="Times New Roman" w:hAnsi="Arial" w:cs="Arial"/>
                <w:b w:val="0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b w:val="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268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6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Oftalmología</w:t>
            </w:r>
          </w:p>
        </w:tc>
        <w:tc>
          <w:tcPr>
            <w:tcW w:w="1410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1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</w:tr>
      <w:tr w:rsidR="00611DDF" w:rsidRPr="00BE7A16" w:rsidTr="00BE7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rPr>
                <w:rFonts w:ascii="Arial" w:eastAsia="Times New Roman" w:hAnsi="Arial" w:cs="Arial"/>
                <w:b w:val="0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b w:val="0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268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6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ORL</w:t>
            </w:r>
          </w:p>
        </w:tc>
        <w:tc>
          <w:tcPr>
            <w:tcW w:w="1410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1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</w:tr>
      <w:tr w:rsidR="00611DDF" w:rsidRPr="00BE7A16" w:rsidTr="00BE7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rPr>
                <w:rFonts w:ascii="Arial" w:eastAsia="Times New Roman" w:hAnsi="Arial" w:cs="Arial"/>
                <w:b w:val="0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b w:val="0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268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6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Ortopedia</w:t>
            </w:r>
          </w:p>
        </w:tc>
        <w:tc>
          <w:tcPr>
            <w:tcW w:w="1410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1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</w:tr>
      <w:tr w:rsidR="00611DDF" w:rsidRPr="00BE7A16" w:rsidTr="00BE7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es-ES"/>
              </w:rPr>
              <w:t>T</w:t>
            </w:r>
          </w:p>
        </w:tc>
        <w:tc>
          <w:tcPr>
            <w:tcW w:w="268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226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1410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81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2</w:t>
            </w:r>
          </w:p>
        </w:tc>
      </w:tr>
    </w:tbl>
    <w:p w:rsidR="00611DDF" w:rsidRPr="00BE7A16" w:rsidRDefault="00611DDF" w:rsidP="00BE7A16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7A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Los principales Documentos Normativos que rigen el funcionamiento del </w:t>
      </w:r>
      <w:proofErr w:type="spellStart"/>
      <w:r w:rsidRPr="00BE7A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Dpto</w:t>
      </w:r>
      <w:proofErr w:type="spellEnd"/>
      <w:r w:rsidRPr="00BE7A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Posgrado y las Investigaciones son los siguientes:</w:t>
      </w:r>
    </w:p>
    <w:tbl>
      <w:tblPr>
        <w:tblStyle w:val="Tabladecuadrcula4-nfasis5"/>
        <w:tblW w:w="8715" w:type="dxa"/>
        <w:tblLook w:val="04A0" w:firstRow="1" w:lastRow="0" w:firstColumn="1" w:lastColumn="0" w:noHBand="0" w:noVBand="1"/>
      </w:tblPr>
      <w:tblGrid>
        <w:gridCol w:w="1710"/>
        <w:gridCol w:w="1408"/>
        <w:gridCol w:w="5597"/>
      </w:tblGrid>
      <w:tr w:rsidR="00611DDF" w:rsidRPr="00BE7A16" w:rsidTr="00BE7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5" w:type="dxa"/>
            <w:gridSpan w:val="3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es-ES"/>
              </w:rPr>
              <w:t>POSGRADO</w:t>
            </w:r>
          </w:p>
        </w:tc>
      </w:tr>
      <w:tr w:rsidR="00611DDF" w:rsidRPr="00BE7A16" w:rsidTr="00BE7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rPr>
                <w:rFonts w:ascii="Arial" w:eastAsia="Times New Roman" w:hAnsi="Arial" w:cs="Arial"/>
                <w:b w:val="0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es-ES"/>
              </w:rPr>
              <w:t xml:space="preserve">Instrucción      </w:t>
            </w:r>
          </w:p>
        </w:tc>
        <w:tc>
          <w:tcPr>
            <w:tcW w:w="1410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1/2020</w:t>
            </w:r>
          </w:p>
        </w:tc>
        <w:tc>
          <w:tcPr>
            <w:tcW w:w="5640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Educación del posgrado Cuba</w:t>
            </w:r>
          </w:p>
        </w:tc>
      </w:tr>
      <w:tr w:rsidR="00611DDF" w:rsidRPr="00BE7A16" w:rsidTr="00BE7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rPr>
                <w:rFonts w:ascii="Arial" w:eastAsia="Times New Roman" w:hAnsi="Arial" w:cs="Arial"/>
                <w:b w:val="0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b w:val="0"/>
                <w:sz w:val="24"/>
                <w:szCs w:val="24"/>
                <w:lang w:eastAsia="es-ES"/>
              </w:rPr>
              <w:t>Decreto ley</w:t>
            </w:r>
          </w:p>
        </w:tc>
        <w:tc>
          <w:tcPr>
            <w:tcW w:w="1410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372/2019</w:t>
            </w:r>
          </w:p>
        </w:tc>
        <w:tc>
          <w:tcPr>
            <w:tcW w:w="5640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Sistema Nacional de Grados Científicos</w:t>
            </w:r>
          </w:p>
        </w:tc>
      </w:tr>
      <w:tr w:rsidR="00611DDF" w:rsidRPr="00BE7A16" w:rsidTr="00BE7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rPr>
                <w:rFonts w:ascii="Arial" w:eastAsia="Times New Roman" w:hAnsi="Arial" w:cs="Arial"/>
                <w:b w:val="0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b w:val="0"/>
                <w:sz w:val="24"/>
                <w:szCs w:val="24"/>
                <w:lang w:eastAsia="es-ES"/>
              </w:rPr>
              <w:t>Decreto ley</w:t>
            </w:r>
          </w:p>
        </w:tc>
        <w:tc>
          <w:tcPr>
            <w:tcW w:w="1410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16/2020</w:t>
            </w:r>
          </w:p>
        </w:tc>
        <w:tc>
          <w:tcPr>
            <w:tcW w:w="5640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Cooperación Internacional</w:t>
            </w:r>
          </w:p>
        </w:tc>
      </w:tr>
      <w:tr w:rsidR="00611DDF" w:rsidRPr="00BE7A16" w:rsidTr="00BE7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rPr>
                <w:rFonts w:ascii="Arial" w:eastAsia="Times New Roman" w:hAnsi="Arial" w:cs="Arial"/>
                <w:b w:val="0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b w:val="0"/>
                <w:sz w:val="24"/>
                <w:szCs w:val="24"/>
                <w:lang w:eastAsia="es-ES"/>
              </w:rPr>
              <w:t>Resolución</w:t>
            </w:r>
          </w:p>
        </w:tc>
        <w:tc>
          <w:tcPr>
            <w:tcW w:w="1410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108/2004</w:t>
            </w:r>
          </w:p>
        </w:tc>
        <w:tc>
          <w:tcPr>
            <w:tcW w:w="5640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Régimen de Residencia</w:t>
            </w:r>
          </w:p>
        </w:tc>
      </w:tr>
      <w:tr w:rsidR="00611DDF" w:rsidRPr="00BE7A16" w:rsidTr="00BE7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rPr>
                <w:rFonts w:ascii="Arial" w:eastAsia="Times New Roman" w:hAnsi="Arial" w:cs="Arial"/>
                <w:b w:val="0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es-ES"/>
              </w:rPr>
              <w:t xml:space="preserve">Resolución  </w:t>
            </w:r>
          </w:p>
        </w:tc>
        <w:tc>
          <w:tcPr>
            <w:tcW w:w="1410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140/2019</w:t>
            </w:r>
          </w:p>
        </w:tc>
        <w:tc>
          <w:tcPr>
            <w:tcW w:w="5640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Reglamento de Educación en el Posgrado</w:t>
            </w:r>
          </w:p>
        </w:tc>
      </w:tr>
      <w:tr w:rsidR="00611DDF" w:rsidRPr="00BE7A16" w:rsidTr="00BE7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rPr>
                <w:rFonts w:ascii="Arial" w:eastAsia="Times New Roman" w:hAnsi="Arial" w:cs="Arial"/>
                <w:b w:val="0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b w:val="0"/>
                <w:sz w:val="24"/>
                <w:szCs w:val="24"/>
                <w:lang w:eastAsia="es-ES"/>
              </w:rPr>
              <w:t>Resolución</w:t>
            </w:r>
          </w:p>
        </w:tc>
        <w:tc>
          <w:tcPr>
            <w:tcW w:w="1410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282/2016</w:t>
            </w:r>
          </w:p>
        </w:tc>
        <w:tc>
          <w:tcPr>
            <w:tcW w:w="5640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Reciclaje de profesionales</w:t>
            </w:r>
          </w:p>
        </w:tc>
      </w:tr>
      <w:tr w:rsidR="00611DDF" w:rsidRPr="00BE7A16" w:rsidTr="00BE7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rPr>
                <w:rFonts w:ascii="Arial" w:eastAsia="Times New Roman" w:hAnsi="Arial" w:cs="Arial"/>
                <w:b w:val="0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b w:val="0"/>
                <w:sz w:val="24"/>
                <w:szCs w:val="24"/>
                <w:lang w:eastAsia="es-ES"/>
              </w:rPr>
              <w:t>Resolución</w:t>
            </w:r>
          </w:p>
        </w:tc>
        <w:tc>
          <w:tcPr>
            <w:tcW w:w="1410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85/2016</w:t>
            </w:r>
          </w:p>
        </w:tc>
        <w:tc>
          <w:tcPr>
            <w:tcW w:w="5640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Categorías Docentes</w:t>
            </w:r>
          </w:p>
        </w:tc>
      </w:tr>
      <w:tr w:rsidR="00611DDF" w:rsidRPr="00BE7A16" w:rsidTr="00BE7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rPr>
                <w:rFonts w:ascii="Arial" w:eastAsia="Times New Roman" w:hAnsi="Arial" w:cs="Arial"/>
                <w:b w:val="0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b w:val="0"/>
                <w:sz w:val="24"/>
                <w:szCs w:val="24"/>
                <w:lang w:eastAsia="es-ES"/>
              </w:rPr>
              <w:t>Resolución</w:t>
            </w:r>
          </w:p>
        </w:tc>
        <w:tc>
          <w:tcPr>
            <w:tcW w:w="1410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132/2009</w:t>
            </w:r>
          </w:p>
        </w:tc>
        <w:tc>
          <w:tcPr>
            <w:tcW w:w="5640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Especialidades de 2do Grado</w:t>
            </w:r>
          </w:p>
        </w:tc>
      </w:tr>
      <w:tr w:rsidR="00611DDF" w:rsidRPr="00BE7A16" w:rsidTr="00BE7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rPr>
                <w:rFonts w:ascii="Arial" w:eastAsia="Times New Roman" w:hAnsi="Arial" w:cs="Arial"/>
                <w:b w:val="0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b w:val="0"/>
                <w:sz w:val="24"/>
                <w:szCs w:val="24"/>
                <w:lang w:eastAsia="es-ES"/>
              </w:rPr>
              <w:t>Resolución</w:t>
            </w:r>
          </w:p>
        </w:tc>
        <w:tc>
          <w:tcPr>
            <w:tcW w:w="1410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372/2020</w:t>
            </w:r>
          </w:p>
        </w:tc>
        <w:tc>
          <w:tcPr>
            <w:tcW w:w="5640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Estimulación Actividades Docentes</w:t>
            </w:r>
          </w:p>
        </w:tc>
      </w:tr>
      <w:tr w:rsidR="00611DDF" w:rsidRPr="00BE7A16" w:rsidTr="00BE7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rPr>
                <w:rFonts w:ascii="Arial" w:eastAsia="Times New Roman" w:hAnsi="Arial" w:cs="Arial"/>
                <w:b w:val="0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b w:val="0"/>
                <w:sz w:val="24"/>
                <w:szCs w:val="24"/>
                <w:lang w:eastAsia="es-ES"/>
              </w:rPr>
              <w:t>Resolución</w:t>
            </w:r>
          </w:p>
        </w:tc>
        <w:tc>
          <w:tcPr>
            <w:tcW w:w="1410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109-2017</w:t>
            </w:r>
          </w:p>
        </w:tc>
        <w:tc>
          <w:tcPr>
            <w:tcW w:w="5640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Consejo Científico</w:t>
            </w:r>
          </w:p>
        </w:tc>
      </w:tr>
      <w:tr w:rsidR="00611DDF" w:rsidRPr="00BE7A16" w:rsidTr="00BE7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10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640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</w:tr>
      <w:tr w:rsidR="00611DDF" w:rsidRPr="00BE7A16" w:rsidTr="00BE7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5" w:type="dxa"/>
            <w:gridSpan w:val="3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es-ES"/>
              </w:rPr>
              <w:lastRenderedPageBreak/>
              <w:t>INVESTIGACIONES</w:t>
            </w:r>
          </w:p>
        </w:tc>
      </w:tr>
      <w:tr w:rsidR="00611DDF" w:rsidRPr="00BE7A16" w:rsidTr="00BE7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rPr>
                <w:rFonts w:ascii="Arial" w:eastAsia="Times New Roman" w:hAnsi="Arial" w:cs="Arial"/>
                <w:b w:val="0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b w:val="0"/>
                <w:sz w:val="24"/>
                <w:szCs w:val="24"/>
                <w:lang w:eastAsia="es-ES"/>
              </w:rPr>
              <w:t>Decreto Ley</w:t>
            </w:r>
          </w:p>
        </w:tc>
        <w:tc>
          <w:tcPr>
            <w:tcW w:w="1410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323-2014</w:t>
            </w:r>
          </w:p>
        </w:tc>
        <w:tc>
          <w:tcPr>
            <w:tcW w:w="5640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Entidades de Ciencia Tecnología e Innovación</w:t>
            </w:r>
          </w:p>
        </w:tc>
      </w:tr>
      <w:tr w:rsidR="00611DDF" w:rsidRPr="00BE7A16" w:rsidTr="00BE7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rPr>
                <w:rFonts w:ascii="Arial" w:eastAsia="Times New Roman" w:hAnsi="Arial" w:cs="Arial"/>
                <w:b w:val="0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b w:val="0"/>
                <w:sz w:val="24"/>
                <w:szCs w:val="24"/>
                <w:lang w:eastAsia="es-ES"/>
              </w:rPr>
              <w:t>Decreto Ley</w:t>
            </w:r>
          </w:p>
        </w:tc>
        <w:tc>
          <w:tcPr>
            <w:tcW w:w="1410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363-2019</w:t>
            </w:r>
          </w:p>
        </w:tc>
        <w:tc>
          <w:tcPr>
            <w:tcW w:w="5640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Parques Científicos Tecnológicos</w:t>
            </w:r>
          </w:p>
        </w:tc>
      </w:tr>
      <w:tr w:rsidR="00611DDF" w:rsidRPr="00BE7A16" w:rsidTr="00BE7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rPr>
                <w:rFonts w:ascii="Arial" w:eastAsia="Times New Roman" w:hAnsi="Arial" w:cs="Arial"/>
                <w:b w:val="0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b w:val="0"/>
                <w:sz w:val="24"/>
                <w:szCs w:val="24"/>
                <w:lang w:eastAsia="es-ES"/>
              </w:rPr>
              <w:t>Resolución</w:t>
            </w:r>
          </w:p>
        </w:tc>
        <w:tc>
          <w:tcPr>
            <w:tcW w:w="1410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287-2019</w:t>
            </w:r>
          </w:p>
        </w:tc>
        <w:tc>
          <w:tcPr>
            <w:tcW w:w="5640" w:type="dxa"/>
            <w:hideMark/>
          </w:tcPr>
          <w:p w:rsidR="00611DDF" w:rsidRPr="00BE7A16" w:rsidRDefault="00611DDF" w:rsidP="00BE7A1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E7A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Sistema Programas y Proyectos Investigación</w:t>
            </w:r>
          </w:p>
        </w:tc>
      </w:tr>
    </w:tbl>
    <w:p w:rsidR="00611DDF" w:rsidRPr="00BE7A16" w:rsidRDefault="00611DDF" w:rsidP="00BE7A16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7A16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6233B0" w:rsidRPr="00BE7A16" w:rsidRDefault="006233B0" w:rsidP="00BE7A16">
      <w:pPr>
        <w:jc w:val="both"/>
        <w:rPr>
          <w:rFonts w:ascii="Arial" w:hAnsi="Arial" w:cs="Arial"/>
        </w:rPr>
      </w:pPr>
    </w:p>
    <w:sectPr w:rsidR="006233B0" w:rsidRPr="00BE7A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92FB8"/>
    <w:multiLevelType w:val="multilevel"/>
    <w:tmpl w:val="DE5E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376631"/>
    <w:multiLevelType w:val="multilevel"/>
    <w:tmpl w:val="89EE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8E0418"/>
    <w:multiLevelType w:val="multilevel"/>
    <w:tmpl w:val="7A7EC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FE4CA3"/>
    <w:multiLevelType w:val="multilevel"/>
    <w:tmpl w:val="9684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49"/>
    <w:rsid w:val="003922C2"/>
    <w:rsid w:val="00590049"/>
    <w:rsid w:val="00611DDF"/>
    <w:rsid w:val="006233B0"/>
    <w:rsid w:val="00BE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D5EEF"/>
  <w15:chartTrackingRefBased/>
  <w15:docId w15:val="{BC776F31-53FA-4D86-B4CA-B67581F7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1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11DDF"/>
    <w:rPr>
      <w:b/>
      <w:bCs/>
    </w:rPr>
  </w:style>
  <w:style w:type="table" w:styleId="Tabladecuadrcula5oscura-nfasis1">
    <w:name w:val="Grid Table 5 Dark Accent 1"/>
    <w:basedOn w:val="Tablanormal"/>
    <w:uiPriority w:val="50"/>
    <w:rsid w:val="00611D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3-nfasis5">
    <w:name w:val="Grid Table 3 Accent 5"/>
    <w:basedOn w:val="Tablanormal"/>
    <w:uiPriority w:val="48"/>
    <w:rsid w:val="00611DD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4-nfasis5">
    <w:name w:val="Grid Table 4 Accent 5"/>
    <w:basedOn w:val="Tablanormal"/>
    <w:uiPriority w:val="49"/>
    <w:rsid w:val="00611DD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0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7DE30-9F7D-4219-87A0-02A123A0E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796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Informatico</dc:creator>
  <cp:keywords/>
  <dc:description/>
  <cp:lastModifiedBy>Informatico</cp:lastModifiedBy>
  <cp:revision>2</cp:revision>
  <dcterms:created xsi:type="dcterms:W3CDTF">2022-06-22T15:04:00Z</dcterms:created>
  <dcterms:modified xsi:type="dcterms:W3CDTF">2022-06-22T15:25:00Z</dcterms:modified>
</cp:coreProperties>
</file>