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3D" w:rsidRPr="00C9473D" w:rsidRDefault="00C9473D" w:rsidP="00C9473D">
      <w:pPr>
        <w:jc w:val="center"/>
        <w:rPr>
          <w:rFonts w:ascii="Arial" w:hAnsi="Arial" w:cs="Arial"/>
          <w:sz w:val="24"/>
        </w:rPr>
      </w:pPr>
      <w:r w:rsidRPr="00CB3005">
        <w:rPr>
          <w:rFonts w:ascii="Arial" w:eastAsia="Calibri" w:hAnsi="Arial" w:cs="Arial"/>
          <w:b/>
          <w:noProof/>
          <w:sz w:val="24"/>
          <w:szCs w:val="24"/>
          <w:lang w:eastAsia="es-ES"/>
        </w:rPr>
        <w:drawing>
          <wp:inline distT="0" distB="0" distL="0" distR="0" wp14:anchorId="0FF8EFBB" wp14:editId="5C119ADE">
            <wp:extent cx="1964689" cy="731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754" cy="731172"/>
                    </a:xfrm>
                    <a:prstGeom prst="rect">
                      <a:avLst/>
                    </a:prstGeom>
                    <a:noFill/>
                    <a:ln>
                      <a:noFill/>
                    </a:ln>
                  </pic:spPr>
                </pic:pic>
              </a:graphicData>
            </a:graphic>
          </wp:inline>
        </w:drawing>
      </w: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Pr="00C9473D" w:rsidRDefault="00C9473D" w:rsidP="00C9473D">
      <w:pPr>
        <w:rPr>
          <w:rFonts w:ascii="Arial" w:hAnsi="Arial" w:cs="Arial"/>
          <w:sz w:val="24"/>
        </w:rPr>
      </w:pPr>
    </w:p>
    <w:p w:rsidR="00C9473D" w:rsidRDefault="00C9473D" w:rsidP="00C9473D">
      <w:pPr>
        <w:spacing w:after="0"/>
        <w:jc w:val="center"/>
        <w:rPr>
          <w:rFonts w:ascii="Arial" w:eastAsia="Times New Roman" w:hAnsi="Arial" w:cs="Arial"/>
          <w:b/>
          <w:bCs/>
          <w:sz w:val="28"/>
          <w:szCs w:val="28"/>
        </w:rPr>
      </w:pPr>
      <w:r>
        <w:rPr>
          <w:rFonts w:ascii="Arial" w:eastAsia="Times New Roman" w:hAnsi="Arial" w:cs="Arial"/>
          <w:b/>
          <w:bCs/>
          <w:sz w:val="28"/>
          <w:szCs w:val="28"/>
        </w:rPr>
        <w:t xml:space="preserve">MONOGRAFÍA DE </w:t>
      </w:r>
      <w:r w:rsidR="00DF1E92">
        <w:rPr>
          <w:rFonts w:ascii="Arial" w:eastAsia="Times New Roman" w:hAnsi="Arial" w:cs="Arial"/>
          <w:b/>
          <w:bCs/>
          <w:sz w:val="28"/>
          <w:szCs w:val="28"/>
        </w:rPr>
        <w:t>COMPILACI</w:t>
      </w:r>
      <w:r>
        <w:rPr>
          <w:rFonts w:ascii="Arial" w:eastAsia="Times New Roman" w:hAnsi="Arial" w:cs="Arial"/>
          <w:b/>
          <w:bCs/>
          <w:sz w:val="28"/>
          <w:szCs w:val="28"/>
        </w:rPr>
        <w:t>ÓN</w:t>
      </w:r>
      <w:r w:rsidRPr="00CB3005">
        <w:rPr>
          <w:rFonts w:ascii="Arial" w:eastAsia="Times New Roman" w:hAnsi="Arial" w:cs="Arial"/>
          <w:b/>
          <w:bCs/>
          <w:sz w:val="28"/>
          <w:szCs w:val="28"/>
        </w:rPr>
        <w:t xml:space="preserve">: </w:t>
      </w:r>
    </w:p>
    <w:p w:rsidR="00C9473D" w:rsidRPr="00C9473D" w:rsidRDefault="00C9473D" w:rsidP="00C9473D">
      <w:pPr>
        <w:spacing w:after="0"/>
        <w:jc w:val="center"/>
        <w:rPr>
          <w:rFonts w:ascii="Arial" w:hAnsi="Arial" w:cs="Arial"/>
          <w:sz w:val="24"/>
        </w:rPr>
      </w:pPr>
      <w:r w:rsidRPr="00CB3005">
        <w:rPr>
          <w:rFonts w:ascii="Arial" w:eastAsia="Times New Roman" w:hAnsi="Arial" w:cs="Arial"/>
          <w:b/>
          <w:bCs/>
          <w:sz w:val="28"/>
          <w:szCs w:val="28"/>
        </w:rPr>
        <w:t>“</w:t>
      </w:r>
      <w:r w:rsidR="00DF1E92">
        <w:rPr>
          <w:rFonts w:ascii="Arial" w:eastAsia="Times New Roman" w:hAnsi="Arial" w:cs="Arial"/>
          <w:b/>
          <w:bCs/>
          <w:sz w:val="28"/>
          <w:szCs w:val="28"/>
        </w:rPr>
        <w:t>MULTIMORBILIDAD</w:t>
      </w:r>
      <w:r w:rsidR="003246CF">
        <w:rPr>
          <w:rFonts w:ascii="Arial" w:eastAsia="Times New Roman" w:hAnsi="Arial" w:cs="Arial"/>
          <w:b/>
          <w:bCs/>
          <w:sz w:val="28"/>
          <w:szCs w:val="28"/>
        </w:rPr>
        <w:t>,</w:t>
      </w:r>
      <w:r w:rsidR="00DF1E92">
        <w:rPr>
          <w:rFonts w:ascii="Arial" w:eastAsia="Times New Roman" w:hAnsi="Arial" w:cs="Arial"/>
          <w:b/>
          <w:bCs/>
          <w:sz w:val="28"/>
          <w:szCs w:val="28"/>
        </w:rPr>
        <w:t xml:space="preserve"> DEMENCIAS </w:t>
      </w:r>
      <w:r w:rsidR="003246CF">
        <w:rPr>
          <w:rFonts w:ascii="Arial" w:eastAsia="Times New Roman" w:hAnsi="Arial" w:cs="Arial"/>
          <w:b/>
          <w:bCs/>
          <w:sz w:val="28"/>
          <w:szCs w:val="28"/>
        </w:rPr>
        <w:t xml:space="preserve">Y FACTORES RELACIONADOS </w:t>
      </w:r>
      <w:r w:rsidR="00DF1E92">
        <w:rPr>
          <w:rFonts w:ascii="Arial" w:eastAsia="Times New Roman" w:hAnsi="Arial" w:cs="Arial"/>
          <w:b/>
          <w:bCs/>
          <w:sz w:val="28"/>
          <w:szCs w:val="28"/>
        </w:rPr>
        <w:t>EN PERSONAS MAYORES</w:t>
      </w:r>
      <w:r>
        <w:rPr>
          <w:rFonts w:ascii="Arial" w:eastAsia="Times New Roman" w:hAnsi="Arial" w:cs="Arial"/>
          <w:b/>
          <w:bCs/>
          <w:sz w:val="28"/>
          <w:szCs w:val="28"/>
        </w:rPr>
        <w:t>”</w:t>
      </w:r>
    </w:p>
    <w:p w:rsidR="00C9473D" w:rsidRPr="00C9473D" w:rsidRDefault="00C9473D" w:rsidP="00C9473D">
      <w:pPr>
        <w:rPr>
          <w:rFonts w:ascii="Arial" w:hAnsi="Arial" w:cs="Arial"/>
          <w:sz w:val="24"/>
        </w:rPr>
      </w:pPr>
    </w:p>
    <w:p w:rsidR="00C9473D" w:rsidRDefault="00C9473D" w:rsidP="00C9473D">
      <w:pPr>
        <w:rPr>
          <w:rFonts w:ascii="Arial" w:hAnsi="Arial" w:cs="Arial"/>
          <w:sz w:val="24"/>
        </w:rPr>
      </w:pPr>
    </w:p>
    <w:p w:rsidR="00AC5A5A" w:rsidRDefault="00AC5A5A" w:rsidP="00C9473D">
      <w:pPr>
        <w:rPr>
          <w:rFonts w:ascii="Arial" w:hAnsi="Arial" w:cs="Arial"/>
          <w:sz w:val="24"/>
        </w:rPr>
      </w:pPr>
    </w:p>
    <w:p w:rsidR="00AC5A5A" w:rsidRDefault="00AC5A5A" w:rsidP="00C9473D">
      <w:pPr>
        <w:rPr>
          <w:rFonts w:ascii="Arial" w:hAnsi="Arial" w:cs="Arial"/>
          <w:sz w:val="24"/>
        </w:rPr>
      </w:pPr>
    </w:p>
    <w:p w:rsidR="00AC5A5A" w:rsidRPr="00AC5A5A" w:rsidRDefault="00C9473D" w:rsidP="00AC5A5A">
      <w:pPr>
        <w:spacing w:after="0" w:line="240" w:lineRule="auto"/>
        <w:jc w:val="both"/>
        <w:rPr>
          <w:rFonts w:ascii="Arial" w:eastAsia="Times New Roman" w:hAnsi="Arial" w:cs="Arial"/>
          <w:sz w:val="24"/>
          <w:szCs w:val="28"/>
        </w:rPr>
      </w:pPr>
      <w:r w:rsidRPr="00CB3005">
        <w:rPr>
          <w:rFonts w:ascii="Arial" w:eastAsia="Times New Roman" w:hAnsi="Arial" w:cs="Arial"/>
          <w:b/>
          <w:sz w:val="24"/>
          <w:szCs w:val="28"/>
          <w:lang w:val="pt-BR"/>
        </w:rPr>
        <w:t>Autor</w:t>
      </w:r>
      <w:r>
        <w:rPr>
          <w:rFonts w:ascii="Arial" w:eastAsia="Times New Roman" w:hAnsi="Arial" w:cs="Arial"/>
          <w:b/>
          <w:sz w:val="24"/>
          <w:szCs w:val="28"/>
          <w:lang w:val="pt-BR"/>
        </w:rPr>
        <w:t>es</w:t>
      </w:r>
      <w:r w:rsidRPr="00CB3005">
        <w:rPr>
          <w:rFonts w:ascii="Arial" w:eastAsia="Times New Roman" w:hAnsi="Arial" w:cs="Arial"/>
          <w:b/>
          <w:sz w:val="24"/>
          <w:szCs w:val="28"/>
          <w:lang w:val="pt-BR"/>
        </w:rPr>
        <w:t>:</w:t>
      </w:r>
      <w:r w:rsidR="00AC5A5A">
        <w:rPr>
          <w:rFonts w:ascii="Arial" w:eastAsia="Times New Roman" w:hAnsi="Arial" w:cs="Arial"/>
          <w:sz w:val="24"/>
          <w:szCs w:val="28"/>
          <w:lang w:val="pt-BR"/>
        </w:rPr>
        <w:t xml:space="preserve"> </w:t>
      </w:r>
      <w:r w:rsidRPr="00CB3005">
        <w:rPr>
          <w:rFonts w:ascii="Arial" w:eastAsia="Times New Roman" w:hAnsi="Arial" w:cs="Arial"/>
          <w:sz w:val="24"/>
          <w:szCs w:val="28"/>
        </w:rPr>
        <w:t>Dra. Ludmila Brenes Hernández</w:t>
      </w:r>
      <w:r w:rsidR="00AC5A5A">
        <w:rPr>
          <w:rFonts w:ascii="Arial" w:eastAsia="Times New Roman" w:hAnsi="Arial" w:cs="Arial"/>
          <w:sz w:val="24"/>
          <w:szCs w:val="28"/>
        </w:rPr>
        <w:t xml:space="preserve">*, </w:t>
      </w:r>
      <w:r w:rsidRPr="00CB3005">
        <w:rPr>
          <w:rFonts w:ascii="Arial" w:eastAsia="Times New Roman" w:hAnsi="Arial" w:cs="Arial"/>
          <w:sz w:val="24"/>
          <w:szCs w:val="28"/>
        </w:rPr>
        <w:t xml:space="preserve">Dra. </w:t>
      </w:r>
      <w:proofErr w:type="spellStart"/>
      <w:r w:rsidR="00AC5A5A">
        <w:rPr>
          <w:rFonts w:ascii="Arial" w:eastAsia="Times New Roman" w:hAnsi="Arial" w:cs="Arial"/>
          <w:sz w:val="24"/>
          <w:szCs w:val="28"/>
        </w:rPr>
        <w:t>Lilliam</w:t>
      </w:r>
      <w:proofErr w:type="spellEnd"/>
      <w:r w:rsidR="00AC5A5A">
        <w:rPr>
          <w:rFonts w:ascii="Arial" w:eastAsia="Times New Roman" w:hAnsi="Arial" w:cs="Arial"/>
          <w:sz w:val="24"/>
          <w:szCs w:val="28"/>
        </w:rPr>
        <w:t xml:space="preserve"> Rodríguez Rivera*</w:t>
      </w:r>
      <w:r w:rsidR="00DF1E92">
        <w:rPr>
          <w:rFonts w:ascii="Arial" w:eastAsia="Times New Roman" w:hAnsi="Arial" w:cs="Arial"/>
          <w:sz w:val="24"/>
          <w:szCs w:val="28"/>
        </w:rPr>
        <w:t>*</w:t>
      </w:r>
      <w:r w:rsidR="00AC5A5A">
        <w:rPr>
          <w:rFonts w:ascii="Arial" w:eastAsia="Times New Roman" w:hAnsi="Arial" w:cs="Arial"/>
          <w:sz w:val="24"/>
          <w:szCs w:val="28"/>
        </w:rPr>
        <w:t xml:space="preserve">, </w:t>
      </w:r>
      <w:r w:rsidRPr="00CB3005">
        <w:rPr>
          <w:rFonts w:ascii="Arial" w:eastAsia="Times New Roman" w:hAnsi="Arial" w:cs="Arial"/>
          <w:sz w:val="24"/>
          <w:szCs w:val="28"/>
        </w:rPr>
        <w:t xml:space="preserve">              </w:t>
      </w:r>
      <w:r>
        <w:rPr>
          <w:rFonts w:ascii="Arial" w:eastAsia="Times New Roman" w:hAnsi="Arial" w:cs="Arial"/>
          <w:sz w:val="24"/>
          <w:szCs w:val="28"/>
        </w:rPr>
        <w:t xml:space="preserve"> </w:t>
      </w:r>
      <w:r w:rsidR="007C32EA">
        <w:rPr>
          <w:rFonts w:ascii="Arial" w:eastAsia="Times New Roman" w:hAnsi="Arial" w:cs="Arial"/>
          <w:sz w:val="24"/>
          <w:szCs w:val="28"/>
        </w:rPr>
        <w:t>D</w:t>
      </w:r>
      <w:r w:rsidR="00DF1E92">
        <w:rPr>
          <w:rFonts w:ascii="Arial" w:eastAsia="Times New Roman" w:hAnsi="Arial" w:cs="Arial"/>
          <w:sz w:val="24"/>
          <w:szCs w:val="28"/>
        </w:rPr>
        <w:t>r. Leonardo Romero Jardines***</w:t>
      </w:r>
    </w:p>
    <w:p w:rsidR="00AC5A5A" w:rsidRPr="00AC5A5A" w:rsidRDefault="00AC5A5A" w:rsidP="00AC5A5A">
      <w:pPr>
        <w:tabs>
          <w:tab w:val="left" w:pos="709"/>
          <w:tab w:val="left" w:pos="851"/>
          <w:tab w:val="left" w:pos="1276"/>
        </w:tabs>
        <w:spacing w:after="0" w:line="240" w:lineRule="auto"/>
        <w:jc w:val="both"/>
        <w:rPr>
          <w:rFonts w:ascii="Arial" w:eastAsia="Times New Roman" w:hAnsi="Arial" w:cs="Arial"/>
          <w:sz w:val="24"/>
          <w:szCs w:val="28"/>
        </w:rPr>
      </w:pPr>
      <w:r w:rsidRPr="00CB3005">
        <w:rPr>
          <w:rFonts w:ascii="Arial" w:eastAsia="Times New Roman" w:hAnsi="Arial" w:cs="Arial"/>
          <w:sz w:val="24"/>
          <w:szCs w:val="28"/>
        </w:rPr>
        <w:t xml:space="preserve">                </w:t>
      </w:r>
      <w:r>
        <w:rPr>
          <w:rFonts w:ascii="Arial" w:eastAsia="Times New Roman" w:hAnsi="Arial" w:cs="Arial"/>
          <w:sz w:val="24"/>
          <w:szCs w:val="28"/>
        </w:rPr>
        <w:t xml:space="preserve"> </w:t>
      </w:r>
    </w:p>
    <w:p w:rsidR="00C9473D" w:rsidRDefault="00C9473D" w:rsidP="00C9473D">
      <w:pPr>
        <w:rPr>
          <w:rFonts w:ascii="Arial" w:hAnsi="Arial" w:cs="Arial"/>
          <w:sz w:val="24"/>
        </w:rPr>
      </w:pPr>
    </w:p>
    <w:p w:rsidR="00DF1E92" w:rsidRDefault="00AC5A5A" w:rsidP="00B307DC">
      <w:pPr>
        <w:jc w:val="both"/>
        <w:rPr>
          <w:rStyle w:val="Hipervnculo"/>
          <w:rFonts w:ascii="Arial" w:eastAsia="Arial" w:hAnsi="Arial" w:cs="Arial"/>
          <w:sz w:val="24"/>
          <w:szCs w:val="24"/>
          <w:u w:val="none"/>
        </w:rPr>
      </w:pPr>
      <w:r>
        <w:rPr>
          <w:rFonts w:ascii="Arial" w:hAnsi="Arial" w:cs="Arial"/>
          <w:sz w:val="24"/>
        </w:rPr>
        <w:t>*</w:t>
      </w:r>
      <w:r w:rsidRPr="00D74175">
        <w:rPr>
          <w:rFonts w:ascii="Arial" w:hAnsi="Arial" w:cs="Arial"/>
          <w:sz w:val="24"/>
        </w:rPr>
        <w:t>Especialista de I Grado en Medicina General Integral y de I Grado en</w:t>
      </w:r>
      <w:r w:rsidRPr="00D74175">
        <w:rPr>
          <w:rFonts w:ascii="Arial" w:hAnsi="Arial" w:cs="Arial"/>
          <w:sz w:val="24"/>
        </w:rPr>
        <w:br/>
      </w:r>
      <w:r>
        <w:rPr>
          <w:rFonts w:ascii="Arial" w:hAnsi="Arial" w:cs="Arial"/>
          <w:sz w:val="24"/>
        </w:rPr>
        <w:t xml:space="preserve">Geriatría y Gerontología. </w:t>
      </w:r>
      <w:proofErr w:type="spellStart"/>
      <w:r>
        <w:rPr>
          <w:rFonts w:ascii="Arial" w:hAnsi="Arial" w:cs="Arial"/>
          <w:sz w:val="24"/>
        </w:rPr>
        <w:t>MSc</w:t>
      </w:r>
      <w:proofErr w:type="spellEnd"/>
      <w:r>
        <w:rPr>
          <w:rFonts w:ascii="Arial" w:hAnsi="Arial" w:cs="Arial"/>
          <w:sz w:val="24"/>
        </w:rPr>
        <w:t>. en S</w:t>
      </w:r>
      <w:r w:rsidRPr="00D74175">
        <w:rPr>
          <w:rFonts w:ascii="Arial" w:hAnsi="Arial" w:cs="Arial"/>
          <w:sz w:val="24"/>
        </w:rPr>
        <w:t>alud Pública y</w:t>
      </w:r>
      <w:r w:rsidRPr="00D74175">
        <w:rPr>
          <w:rFonts w:ascii="Arial" w:hAnsi="Arial" w:cs="Arial"/>
          <w:sz w:val="24"/>
        </w:rPr>
        <w:br/>
        <w:t>Envejecimiento.</w:t>
      </w:r>
      <w:r>
        <w:rPr>
          <w:rFonts w:ascii="Arial" w:hAnsi="Arial" w:cs="Arial"/>
          <w:sz w:val="24"/>
        </w:rPr>
        <w:t xml:space="preserve"> </w:t>
      </w:r>
      <w:hyperlink r:id="rId9" w:history="1">
        <w:r w:rsidR="00B307DC" w:rsidRPr="009B4AA4">
          <w:rPr>
            <w:rStyle w:val="Hipervnculo"/>
            <w:rFonts w:ascii="Arial" w:eastAsia="Arial" w:hAnsi="Arial" w:cs="Arial"/>
            <w:sz w:val="24"/>
            <w:szCs w:val="24"/>
          </w:rPr>
          <w:t>https://orcid.org/0000-0002-2583-4701</w:t>
        </w:r>
      </w:hyperlink>
    </w:p>
    <w:p w:rsidR="00B307DC" w:rsidRDefault="00DF1E92" w:rsidP="00B307DC">
      <w:pPr>
        <w:jc w:val="both"/>
        <w:rPr>
          <w:rFonts w:ascii="Arial" w:hAnsi="Arial" w:cs="Arial"/>
          <w:sz w:val="24"/>
        </w:rPr>
      </w:pPr>
      <w:r>
        <w:rPr>
          <w:rFonts w:ascii="Arial" w:hAnsi="Arial" w:cs="Arial"/>
          <w:sz w:val="24"/>
        </w:rPr>
        <w:t>**</w:t>
      </w:r>
      <w:r w:rsidRPr="00D74175">
        <w:rPr>
          <w:rFonts w:ascii="Arial" w:hAnsi="Arial" w:cs="Arial"/>
          <w:sz w:val="24"/>
        </w:rPr>
        <w:t>Especialista de I Grado en Medicina General Integral y de I Grado en</w:t>
      </w:r>
      <w:r w:rsidRPr="00D74175">
        <w:rPr>
          <w:rFonts w:ascii="Arial" w:hAnsi="Arial" w:cs="Arial"/>
          <w:sz w:val="24"/>
        </w:rPr>
        <w:br/>
      </w:r>
      <w:r>
        <w:rPr>
          <w:rFonts w:ascii="Arial" w:hAnsi="Arial" w:cs="Arial"/>
          <w:sz w:val="24"/>
        </w:rPr>
        <w:t xml:space="preserve">Geriatría y Gerontología. </w:t>
      </w:r>
      <w:proofErr w:type="spellStart"/>
      <w:r>
        <w:rPr>
          <w:rFonts w:ascii="Arial" w:hAnsi="Arial" w:cs="Arial"/>
          <w:sz w:val="24"/>
        </w:rPr>
        <w:t>MSc</w:t>
      </w:r>
      <w:proofErr w:type="spellEnd"/>
      <w:r>
        <w:rPr>
          <w:rFonts w:ascii="Arial" w:hAnsi="Arial" w:cs="Arial"/>
          <w:sz w:val="24"/>
        </w:rPr>
        <w:t>. en S</w:t>
      </w:r>
      <w:r w:rsidRPr="00D74175">
        <w:rPr>
          <w:rFonts w:ascii="Arial" w:hAnsi="Arial" w:cs="Arial"/>
          <w:sz w:val="24"/>
        </w:rPr>
        <w:t>alud Pública y</w:t>
      </w:r>
      <w:r w:rsidRPr="00D74175">
        <w:rPr>
          <w:rFonts w:ascii="Arial" w:hAnsi="Arial" w:cs="Arial"/>
          <w:sz w:val="24"/>
        </w:rPr>
        <w:br/>
        <w:t>Envejecimiento.</w:t>
      </w:r>
      <w:r>
        <w:rPr>
          <w:rFonts w:ascii="Arial" w:hAnsi="Arial" w:cs="Arial"/>
          <w:sz w:val="24"/>
        </w:rPr>
        <w:t xml:space="preserve"> </w:t>
      </w:r>
      <w:hyperlink r:id="rId10" w:history="1">
        <w:r w:rsidR="00B307DC" w:rsidRPr="009B4AA4">
          <w:rPr>
            <w:rStyle w:val="Hipervnculo"/>
            <w:rFonts w:ascii="Arial" w:hAnsi="Arial" w:cs="Arial"/>
            <w:sz w:val="24"/>
          </w:rPr>
          <w:t>https://orcid.org/0000-0003-1924-2459</w:t>
        </w:r>
      </w:hyperlink>
    </w:p>
    <w:p w:rsidR="00B307DC" w:rsidRDefault="00AC5A5A" w:rsidP="00B307DC">
      <w:pPr>
        <w:jc w:val="both"/>
        <w:rPr>
          <w:rStyle w:val="Hipervnculo"/>
          <w:rFonts w:ascii="Arial" w:hAnsi="Arial" w:cs="Arial"/>
          <w:sz w:val="24"/>
        </w:rPr>
      </w:pPr>
      <w:r>
        <w:rPr>
          <w:rFonts w:ascii="Arial" w:hAnsi="Arial" w:cs="Arial"/>
          <w:sz w:val="24"/>
        </w:rPr>
        <w:t>**</w:t>
      </w:r>
      <w:r w:rsidR="00DF1E92">
        <w:rPr>
          <w:rFonts w:ascii="Arial" w:hAnsi="Arial" w:cs="Arial"/>
          <w:sz w:val="24"/>
        </w:rPr>
        <w:t>*</w:t>
      </w:r>
      <w:r w:rsidRPr="00D74175">
        <w:rPr>
          <w:rFonts w:ascii="Arial" w:hAnsi="Arial" w:cs="Arial"/>
          <w:sz w:val="24"/>
        </w:rPr>
        <w:t>Especialista de I Grado en</w:t>
      </w:r>
      <w:r>
        <w:rPr>
          <w:rFonts w:ascii="Arial" w:hAnsi="Arial" w:cs="Arial"/>
          <w:sz w:val="24"/>
        </w:rPr>
        <w:t xml:space="preserve"> Geriatría y Gerontología. </w:t>
      </w:r>
      <w:hyperlink r:id="rId11" w:history="1">
        <w:r w:rsidR="00B307DC" w:rsidRPr="00056DBD">
          <w:rPr>
            <w:rStyle w:val="Hipervnculo"/>
            <w:rFonts w:ascii="Arial" w:hAnsi="Arial" w:cs="Arial"/>
            <w:sz w:val="24"/>
          </w:rPr>
          <w:t>https://orcid.org/0000-0002-0404-2457</w:t>
        </w:r>
      </w:hyperlink>
    </w:p>
    <w:p w:rsidR="00DF1E92" w:rsidRDefault="00DF1E92" w:rsidP="00B307DC">
      <w:pPr>
        <w:jc w:val="both"/>
        <w:rPr>
          <w:rStyle w:val="Hipervnculo"/>
          <w:rFonts w:ascii="Arial" w:hAnsi="Arial" w:cs="Arial"/>
          <w:color w:val="auto"/>
          <w:sz w:val="24"/>
          <w:u w:val="none"/>
        </w:rPr>
      </w:pPr>
    </w:p>
    <w:p w:rsidR="00AC5A5A" w:rsidRDefault="00AC5A5A" w:rsidP="00AC5A5A">
      <w:pPr>
        <w:jc w:val="both"/>
        <w:rPr>
          <w:rFonts w:ascii="Arial" w:hAnsi="Arial" w:cs="Arial"/>
          <w:sz w:val="24"/>
        </w:rPr>
      </w:pPr>
    </w:p>
    <w:p w:rsidR="00614C91" w:rsidRPr="0002503C" w:rsidRDefault="00614C91" w:rsidP="00614C91">
      <w:pPr>
        <w:spacing w:after="0" w:line="240" w:lineRule="auto"/>
        <w:rPr>
          <w:rFonts w:ascii="Arial" w:hAnsi="Arial" w:cs="Arial"/>
          <w:sz w:val="24"/>
        </w:rPr>
      </w:pPr>
      <w:r w:rsidRPr="0002503C">
        <w:rPr>
          <w:rFonts w:ascii="Arial" w:hAnsi="Arial" w:cs="Arial"/>
          <w:sz w:val="24"/>
        </w:rPr>
        <w:t xml:space="preserve">Centro Colaborador OPS/OMS </w:t>
      </w:r>
    </w:p>
    <w:p w:rsidR="00614C91" w:rsidRDefault="00614C91" w:rsidP="00614C91">
      <w:pPr>
        <w:spacing w:after="0" w:line="240" w:lineRule="auto"/>
        <w:rPr>
          <w:rFonts w:ascii="Arial" w:hAnsi="Arial" w:cs="Arial"/>
          <w:sz w:val="24"/>
        </w:rPr>
      </w:pPr>
      <w:r w:rsidRPr="0002503C">
        <w:rPr>
          <w:rFonts w:ascii="Arial" w:hAnsi="Arial" w:cs="Arial"/>
          <w:sz w:val="24"/>
        </w:rPr>
        <w:t>Salud Pública y Envejecimiento</w:t>
      </w:r>
    </w:p>
    <w:p w:rsidR="00614C91" w:rsidRDefault="00614C91" w:rsidP="00614C91">
      <w:pPr>
        <w:spacing w:line="240" w:lineRule="auto"/>
        <w:rPr>
          <w:rFonts w:ascii="Arial" w:hAnsi="Arial" w:cs="Arial"/>
          <w:sz w:val="24"/>
        </w:rPr>
      </w:pPr>
      <w:r>
        <w:rPr>
          <w:rFonts w:ascii="Arial" w:hAnsi="Arial" w:cs="Arial"/>
          <w:sz w:val="24"/>
        </w:rPr>
        <w:t>Centro de Investigaciones sobre Longevidad, Envejecimiento y Salud. CITED</w:t>
      </w:r>
    </w:p>
    <w:p w:rsidR="008473FB" w:rsidRDefault="008473FB" w:rsidP="00C9473D">
      <w:pPr>
        <w:rPr>
          <w:rFonts w:ascii="Arial" w:hAnsi="Arial" w:cs="Arial"/>
          <w:b/>
          <w:sz w:val="24"/>
        </w:rPr>
      </w:pPr>
    </w:p>
    <w:p w:rsidR="00C9473D" w:rsidRPr="00AC5A5A" w:rsidRDefault="00AC5A5A" w:rsidP="00C9473D">
      <w:pPr>
        <w:rPr>
          <w:rFonts w:ascii="Arial" w:hAnsi="Arial" w:cs="Arial"/>
          <w:b/>
          <w:sz w:val="24"/>
        </w:rPr>
      </w:pPr>
      <w:r w:rsidRPr="00AC5A5A">
        <w:rPr>
          <w:rFonts w:ascii="Arial" w:hAnsi="Arial" w:cs="Arial"/>
          <w:b/>
          <w:sz w:val="24"/>
        </w:rPr>
        <w:lastRenderedPageBreak/>
        <w:t xml:space="preserve">INTRODUCCIÓN. </w:t>
      </w:r>
    </w:p>
    <w:p w:rsidR="009D1927" w:rsidRPr="009D1927" w:rsidRDefault="009D1927" w:rsidP="009D1927">
      <w:pPr>
        <w:jc w:val="both"/>
        <w:rPr>
          <w:rFonts w:ascii="Arial" w:hAnsi="Arial" w:cs="Arial"/>
          <w:sz w:val="24"/>
          <w:szCs w:val="24"/>
        </w:rPr>
      </w:pPr>
      <w:r w:rsidRPr="009D1927">
        <w:rPr>
          <w:rFonts w:ascii="Arial" w:hAnsi="Arial" w:cs="Arial"/>
          <w:sz w:val="24"/>
          <w:szCs w:val="24"/>
        </w:rPr>
        <w:t xml:space="preserve">América Latina y el Caribe se encuentra en la antesala de un cambio sin precedentes en su historia: en 2037 la proporción de personas mayores sobrepasará a la de menores de 15 años. En menos de una década países como Cuba, Barbados y Martinica </w:t>
      </w:r>
      <w:r w:rsidRPr="009D1927">
        <w:rPr>
          <w:rFonts w:ascii="Arial" w:hAnsi="Arial" w:cs="Arial"/>
          <w:sz w:val="24"/>
          <w:szCs w:val="24"/>
          <w:vertAlign w:val="superscript"/>
        </w:rPr>
        <w:t>(1,2</w:t>
      </w:r>
      <w:r w:rsidRPr="009D1927">
        <w:rPr>
          <w:rFonts w:ascii="Arial" w:hAnsi="Arial" w:cs="Arial"/>
          <w:sz w:val="24"/>
          <w:szCs w:val="24"/>
          <w:vertAlign w:val="superscript"/>
        </w:rPr>
        <w:t>)</w:t>
      </w:r>
      <w:r w:rsidRPr="009D1927">
        <w:rPr>
          <w:rFonts w:ascii="Arial" w:hAnsi="Arial" w:cs="Arial"/>
          <w:sz w:val="24"/>
          <w:szCs w:val="24"/>
        </w:rPr>
        <w:t xml:space="preserve"> superarán en sus niveles de envejecimiento a Canadá, país más envejecido en el presente, según proyecciones de las Naciones Unidas. La heterogeneidad demográfica y epidemiológica matiza el escenario latinoamericano, dado el disímil ritmo de envejecimiento y etapas de la transición demográfica que experimentan los países que lo conforman y la doble carga de enfermedad que algunos afrontan. </w:t>
      </w:r>
    </w:p>
    <w:p w:rsidR="009D1927" w:rsidRPr="009D1927" w:rsidRDefault="009D1927" w:rsidP="009D1927">
      <w:pPr>
        <w:jc w:val="both"/>
        <w:rPr>
          <w:rFonts w:ascii="Arial" w:hAnsi="Arial" w:cs="Arial"/>
          <w:sz w:val="24"/>
          <w:szCs w:val="24"/>
        </w:rPr>
      </w:pPr>
      <w:r w:rsidRPr="009D1927">
        <w:rPr>
          <w:rFonts w:ascii="Arial" w:hAnsi="Arial" w:cs="Arial"/>
          <w:sz w:val="24"/>
          <w:szCs w:val="24"/>
        </w:rPr>
        <w:t xml:space="preserve">Las enfermedades crónicas no transmisibles (ECNT) constituyen en la actualidad uno de los mayores retos que enfrentan los sistemas de salud a nivel mundial dado el gran número de pacientes afectados y sus concebidas tasas de incidencia cada vez más crecientes, su gradual contribución a la mortalidad general, por representar la causa más frecuente de discapacidad, por el costo elevado de las hospitalizaciones que generan, el de su tratamiento médico y su posterior rehabilitación </w:t>
      </w:r>
      <w:r>
        <w:rPr>
          <w:rFonts w:ascii="Arial" w:hAnsi="Arial" w:cs="Arial"/>
          <w:sz w:val="24"/>
          <w:szCs w:val="24"/>
          <w:vertAlign w:val="superscript"/>
        </w:rPr>
        <w:t>(3</w:t>
      </w:r>
      <w:r w:rsidRPr="009D1927">
        <w:rPr>
          <w:rFonts w:ascii="Arial" w:hAnsi="Arial" w:cs="Arial"/>
          <w:sz w:val="24"/>
          <w:szCs w:val="24"/>
          <w:vertAlign w:val="superscript"/>
        </w:rPr>
        <w:t>)</w:t>
      </w:r>
      <w:r w:rsidRPr="009D1927">
        <w:rPr>
          <w:rFonts w:ascii="Arial" w:hAnsi="Arial" w:cs="Arial"/>
          <w:sz w:val="24"/>
          <w:szCs w:val="24"/>
        </w:rPr>
        <w:t xml:space="preserve">. Muchas de ellas comparten los mismos factores de riesgo, relacionados con cambios notables en los estilos de vida, como el consumo tabáquico, la inactividad física, el uso nocivo del alcohol y las dietas no saludables </w:t>
      </w:r>
      <w:r w:rsidRPr="009D1927">
        <w:rPr>
          <w:rFonts w:ascii="Arial" w:hAnsi="Arial" w:cs="Arial"/>
          <w:sz w:val="24"/>
          <w:szCs w:val="24"/>
          <w:vertAlign w:val="superscript"/>
        </w:rPr>
        <w:t>(</w:t>
      </w:r>
      <w:r>
        <w:rPr>
          <w:rFonts w:ascii="Arial" w:hAnsi="Arial" w:cs="Arial"/>
          <w:sz w:val="24"/>
          <w:szCs w:val="24"/>
          <w:vertAlign w:val="superscript"/>
        </w:rPr>
        <w:t>4</w:t>
      </w:r>
      <w:r w:rsidRPr="009D1927">
        <w:rPr>
          <w:rFonts w:ascii="Arial" w:hAnsi="Arial" w:cs="Arial"/>
          <w:sz w:val="24"/>
          <w:szCs w:val="24"/>
          <w:vertAlign w:val="superscript"/>
        </w:rPr>
        <w:t>)</w:t>
      </w:r>
      <w:r w:rsidRPr="009D1927">
        <w:rPr>
          <w:rFonts w:ascii="Arial" w:hAnsi="Arial" w:cs="Arial"/>
          <w:sz w:val="24"/>
          <w:szCs w:val="24"/>
        </w:rPr>
        <w:t xml:space="preserve">, por lo que la prevención desde etapas tempranas de la vida reviste un papel primordial en el control de las mismas y una forma de aproximarse al logro de un envejecimiento saludable. </w:t>
      </w:r>
    </w:p>
    <w:p w:rsidR="009D1927" w:rsidRPr="009D1927" w:rsidRDefault="009D1927" w:rsidP="009D1927">
      <w:pPr>
        <w:jc w:val="both"/>
        <w:rPr>
          <w:rFonts w:ascii="Arial" w:hAnsi="Arial" w:cs="Arial"/>
          <w:sz w:val="24"/>
        </w:rPr>
      </w:pPr>
      <w:r w:rsidRPr="009D1927">
        <w:rPr>
          <w:rFonts w:ascii="Arial" w:hAnsi="Arial" w:cs="Arial"/>
          <w:sz w:val="24"/>
          <w:szCs w:val="24"/>
        </w:rPr>
        <w:t xml:space="preserve">A los factores antes mencionados se adiciona la evidencia de que determinantes sociales de la salud, tales como la vivienda, la educación, alimentación e higiene, son considerados como los principales factores de riesgo de contraer enfermedades, lo que ha provocado multitud de advertencias y recomendaciones sobre el riesgo de quiebra económica que  corren  los  sistemas  sanitarios  y  los  propios  estados y desde el año 2000 la OMS ha elaborado estrategias y planes de acción para la prevención y control de las afecciones crónicas </w:t>
      </w:r>
      <w:r w:rsidRPr="009D1927">
        <w:rPr>
          <w:rFonts w:ascii="Arial" w:hAnsi="Arial" w:cs="Arial"/>
          <w:sz w:val="24"/>
          <w:szCs w:val="24"/>
          <w:vertAlign w:val="superscript"/>
        </w:rPr>
        <w:t>(</w:t>
      </w:r>
      <w:r>
        <w:rPr>
          <w:rFonts w:ascii="Arial" w:hAnsi="Arial" w:cs="Arial"/>
          <w:sz w:val="24"/>
          <w:szCs w:val="24"/>
          <w:vertAlign w:val="superscript"/>
        </w:rPr>
        <w:t>5</w:t>
      </w:r>
      <w:r w:rsidRPr="009D1927">
        <w:rPr>
          <w:rFonts w:ascii="Arial" w:hAnsi="Arial" w:cs="Arial"/>
          <w:sz w:val="24"/>
          <w:szCs w:val="24"/>
          <w:vertAlign w:val="superscript"/>
        </w:rPr>
        <w:t>)</w:t>
      </w:r>
      <w:r w:rsidRPr="009D1927">
        <w:rPr>
          <w:rFonts w:ascii="Arial" w:hAnsi="Arial" w:cs="Arial"/>
          <w:sz w:val="24"/>
          <w:szCs w:val="24"/>
        </w:rPr>
        <w:t xml:space="preserve"> aunque todos los organismos internacionales preconizan la necesidad de facilitar el acceso de todos  los  ciudadanos</w:t>
      </w:r>
      <w:r w:rsidRPr="009D1927">
        <w:rPr>
          <w:rFonts w:ascii="Arial" w:hAnsi="Arial" w:cs="Arial"/>
          <w:sz w:val="24"/>
        </w:rPr>
        <w:t xml:space="preserve">  a  la  atención  sanitaria  y  el  control de  los  factores  de  riesgo,  creando  entornos  de  promoción y prevención de salud que eviten la desigualdad </w:t>
      </w:r>
      <w:r w:rsidRPr="009D1927">
        <w:rPr>
          <w:rFonts w:ascii="Arial" w:hAnsi="Arial" w:cs="Arial"/>
          <w:sz w:val="24"/>
          <w:vertAlign w:val="superscript"/>
        </w:rPr>
        <w:t>(</w:t>
      </w:r>
      <w:r>
        <w:rPr>
          <w:rFonts w:ascii="Arial" w:hAnsi="Arial" w:cs="Arial"/>
          <w:sz w:val="24"/>
          <w:vertAlign w:val="superscript"/>
        </w:rPr>
        <w:t>5-7</w:t>
      </w:r>
      <w:r w:rsidRPr="009D1927">
        <w:rPr>
          <w:rFonts w:ascii="Arial" w:hAnsi="Arial" w:cs="Arial"/>
          <w:sz w:val="24"/>
          <w:vertAlign w:val="superscript"/>
        </w:rPr>
        <w:t>)</w:t>
      </w:r>
      <w:r w:rsidRPr="009D1927">
        <w:rPr>
          <w:rFonts w:ascii="Arial" w:hAnsi="Arial" w:cs="Arial"/>
          <w:sz w:val="24"/>
        </w:rPr>
        <w:t>.</w:t>
      </w:r>
    </w:p>
    <w:p w:rsidR="009D1927" w:rsidRPr="009D1927" w:rsidRDefault="009D1927" w:rsidP="009D1927">
      <w:pPr>
        <w:jc w:val="both"/>
        <w:rPr>
          <w:rFonts w:ascii="Arial" w:hAnsi="Arial" w:cs="Arial"/>
          <w:sz w:val="24"/>
        </w:rPr>
      </w:pPr>
      <w:r w:rsidRPr="009D1927">
        <w:rPr>
          <w:rFonts w:ascii="Arial" w:hAnsi="Arial" w:cs="Arial"/>
          <w:sz w:val="24"/>
        </w:rPr>
        <w:t xml:space="preserve">El número de enfermedades crónicas presentes en una misma persona también aumenta progresivamente con la edad, de tal forma que en las personas con 80  años o más, la media de las mismas es superior a 4 </w:t>
      </w:r>
      <w:r w:rsidRPr="009D1927">
        <w:rPr>
          <w:rFonts w:ascii="Arial" w:hAnsi="Arial" w:cs="Arial"/>
          <w:sz w:val="24"/>
          <w:vertAlign w:val="superscript"/>
        </w:rPr>
        <w:t>(</w:t>
      </w:r>
      <w:r w:rsidR="00CA04CC">
        <w:rPr>
          <w:rFonts w:ascii="Arial" w:hAnsi="Arial" w:cs="Arial"/>
          <w:sz w:val="24"/>
          <w:vertAlign w:val="superscript"/>
        </w:rPr>
        <w:t>8</w:t>
      </w:r>
      <w:r w:rsidRPr="009D1927">
        <w:rPr>
          <w:rFonts w:ascii="Arial" w:hAnsi="Arial" w:cs="Arial"/>
          <w:sz w:val="24"/>
          <w:vertAlign w:val="superscript"/>
        </w:rPr>
        <w:t>)</w:t>
      </w:r>
      <w:r w:rsidRPr="009D1927">
        <w:rPr>
          <w:rFonts w:ascii="Arial" w:hAnsi="Arial" w:cs="Arial"/>
          <w:sz w:val="24"/>
        </w:rPr>
        <w:t xml:space="preserve"> e incluso en estudio desarrollado en Escocia se reporta cifra superior a 8 entre las personas con más de 85 años </w:t>
      </w:r>
      <w:r w:rsidRPr="009D1927">
        <w:rPr>
          <w:rFonts w:ascii="Arial" w:hAnsi="Arial" w:cs="Arial"/>
          <w:sz w:val="24"/>
          <w:vertAlign w:val="superscript"/>
        </w:rPr>
        <w:t>(</w:t>
      </w:r>
      <w:r w:rsidR="00CA04CC">
        <w:rPr>
          <w:rFonts w:ascii="Arial" w:hAnsi="Arial" w:cs="Arial"/>
          <w:sz w:val="24"/>
          <w:vertAlign w:val="superscript"/>
        </w:rPr>
        <w:t>9</w:t>
      </w:r>
      <w:r w:rsidRPr="009D1927">
        <w:rPr>
          <w:rFonts w:ascii="Arial" w:hAnsi="Arial" w:cs="Arial"/>
          <w:sz w:val="24"/>
          <w:vertAlign w:val="superscript"/>
        </w:rPr>
        <w:t>)</w:t>
      </w:r>
      <w:r w:rsidRPr="009D1927">
        <w:rPr>
          <w:rFonts w:ascii="Arial" w:hAnsi="Arial" w:cs="Arial"/>
          <w:sz w:val="24"/>
        </w:rPr>
        <w:t xml:space="preserve">. Por ser la regla y no la excepción, esto ha llevado a la aseveración de que la condición crónica más frecuente en los adultos es la coexistencia de múltiples enfermedades crónicas </w:t>
      </w:r>
      <w:r w:rsidRPr="009D1927">
        <w:rPr>
          <w:rFonts w:ascii="Arial" w:hAnsi="Arial" w:cs="Arial"/>
          <w:sz w:val="24"/>
          <w:vertAlign w:val="superscript"/>
        </w:rPr>
        <w:t>(</w:t>
      </w:r>
      <w:r w:rsidR="00CA04CC">
        <w:rPr>
          <w:rFonts w:ascii="Arial" w:hAnsi="Arial" w:cs="Arial"/>
          <w:sz w:val="24"/>
          <w:vertAlign w:val="superscript"/>
        </w:rPr>
        <w:t>10,11</w:t>
      </w:r>
      <w:r w:rsidRPr="009D1927">
        <w:rPr>
          <w:rFonts w:ascii="Arial" w:hAnsi="Arial" w:cs="Arial"/>
          <w:sz w:val="24"/>
          <w:vertAlign w:val="superscript"/>
        </w:rPr>
        <w:t>)</w:t>
      </w:r>
      <w:r w:rsidRPr="009D1927">
        <w:rPr>
          <w:rFonts w:ascii="Arial" w:hAnsi="Arial" w:cs="Arial"/>
          <w:sz w:val="24"/>
        </w:rPr>
        <w:t xml:space="preserve">, situación que ha sido denominada en la literatura como “multimorbilidad” o </w:t>
      </w:r>
      <w:proofErr w:type="spellStart"/>
      <w:r w:rsidRPr="009D1927">
        <w:rPr>
          <w:rFonts w:ascii="Arial" w:hAnsi="Arial" w:cs="Arial"/>
          <w:sz w:val="24"/>
        </w:rPr>
        <w:t>pluripatología</w:t>
      </w:r>
      <w:proofErr w:type="spellEnd"/>
      <w:r w:rsidRPr="009D1927">
        <w:rPr>
          <w:rFonts w:ascii="Arial" w:hAnsi="Arial" w:cs="Arial"/>
          <w:sz w:val="24"/>
        </w:rPr>
        <w:t xml:space="preserve"> </w:t>
      </w:r>
      <w:r w:rsidRPr="009D1927">
        <w:rPr>
          <w:rFonts w:ascii="Arial" w:hAnsi="Arial" w:cs="Arial"/>
          <w:sz w:val="24"/>
        </w:rPr>
        <w:lastRenderedPageBreak/>
        <w:t xml:space="preserve">para algunos, y  ha motivado al planteamiento de que la situación de “múltiples condiciones crónicas” sea incluida como un diagnóstico más en la Clasiﬁcación Internacional de Enfermedades </w:t>
      </w:r>
      <w:r w:rsidRPr="009D1927">
        <w:rPr>
          <w:rFonts w:ascii="Arial" w:hAnsi="Arial" w:cs="Arial"/>
          <w:sz w:val="24"/>
          <w:vertAlign w:val="superscript"/>
        </w:rPr>
        <w:t>(1</w:t>
      </w:r>
      <w:r w:rsidR="00CA04CC">
        <w:rPr>
          <w:rFonts w:ascii="Arial" w:hAnsi="Arial" w:cs="Arial"/>
          <w:sz w:val="24"/>
          <w:vertAlign w:val="superscript"/>
        </w:rPr>
        <w:t>0</w:t>
      </w:r>
      <w:r w:rsidRPr="009D1927">
        <w:rPr>
          <w:rFonts w:ascii="Arial" w:hAnsi="Arial" w:cs="Arial"/>
          <w:sz w:val="24"/>
          <w:vertAlign w:val="superscript"/>
        </w:rPr>
        <w:t>,</w:t>
      </w:r>
      <w:r w:rsidR="00CA04CC">
        <w:rPr>
          <w:rFonts w:ascii="Arial" w:hAnsi="Arial" w:cs="Arial"/>
          <w:sz w:val="24"/>
          <w:vertAlign w:val="superscript"/>
        </w:rPr>
        <w:t>1</w:t>
      </w:r>
      <w:r w:rsidRPr="009D1927">
        <w:rPr>
          <w:rFonts w:ascii="Arial" w:hAnsi="Arial" w:cs="Arial"/>
          <w:sz w:val="24"/>
          <w:vertAlign w:val="superscript"/>
        </w:rPr>
        <w:t>2)</w:t>
      </w:r>
      <w:r w:rsidRPr="009D1927">
        <w:rPr>
          <w:rFonts w:ascii="Arial" w:hAnsi="Arial" w:cs="Arial"/>
          <w:sz w:val="24"/>
        </w:rPr>
        <w:t>.</w:t>
      </w:r>
    </w:p>
    <w:p w:rsidR="00C9473D" w:rsidRDefault="00CA04CC" w:rsidP="00CA04CC">
      <w:pPr>
        <w:jc w:val="both"/>
        <w:rPr>
          <w:rFonts w:ascii="Arial" w:hAnsi="Arial" w:cs="Arial"/>
          <w:sz w:val="24"/>
        </w:rPr>
      </w:pPr>
      <w:r w:rsidRPr="00CA04CC">
        <w:rPr>
          <w:rFonts w:ascii="Arial" w:hAnsi="Arial" w:cs="Arial"/>
          <w:sz w:val="24"/>
        </w:rPr>
        <w:t xml:space="preserve">El paradigma que ha predominado desde que </w:t>
      </w:r>
      <w:proofErr w:type="spellStart"/>
      <w:r w:rsidRPr="00CA04CC">
        <w:rPr>
          <w:rFonts w:ascii="Arial" w:hAnsi="Arial" w:cs="Arial"/>
          <w:sz w:val="24"/>
        </w:rPr>
        <w:t>Feinstein</w:t>
      </w:r>
      <w:proofErr w:type="spellEnd"/>
      <w:r w:rsidRPr="00CA04CC">
        <w:rPr>
          <w:rFonts w:ascii="Arial" w:hAnsi="Arial" w:cs="Arial"/>
          <w:sz w:val="24"/>
        </w:rPr>
        <w:t xml:space="preserve"> definiera  en  1970  la  comorbilidad  como  «cualquier  entidad  distinta  y  adicional  que  ha  existido  o  puede ocurrir durante el curso clínico de un paciente que presenta una enfermedad índice bajo estudio» está así dando paso a una nueva realidad en la que la población acumula y convive con diversas enfermedades crónicas sin que ninguna de ellas predomine clínicamente de forma permanente sobre las demás. No solo el envejecimiento poblacional ha influido en el incremento de la multimorbilidad, ya que otros factores, principalmente de tipo socioeconómico, juegan un papel esencial en esta tendencia </w:t>
      </w:r>
      <w:r w:rsidRPr="00CA04CC">
        <w:rPr>
          <w:rFonts w:ascii="Arial" w:hAnsi="Arial" w:cs="Arial"/>
          <w:sz w:val="24"/>
          <w:vertAlign w:val="superscript"/>
        </w:rPr>
        <w:t>(</w:t>
      </w:r>
      <w:r>
        <w:rPr>
          <w:rFonts w:ascii="Arial" w:hAnsi="Arial" w:cs="Arial"/>
          <w:sz w:val="24"/>
          <w:vertAlign w:val="superscript"/>
        </w:rPr>
        <w:t>13</w:t>
      </w:r>
      <w:r w:rsidRPr="00CA04CC">
        <w:rPr>
          <w:rFonts w:ascii="Arial" w:hAnsi="Arial" w:cs="Arial"/>
          <w:sz w:val="24"/>
          <w:vertAlign w:val="superscript"/>
        </w:rPr>
        <w:t>)</w:t>
      </w:r>
      <w:r w:rsidRPr="00CA04CC">
        <w:rPr>
          <w:rFonts w:ascii="Arial" w:hAnsi="Arial" w:cs="Arial"/>
          <w:sz w:val="24"/>
        </w:rPr>
        <w:t xml:space="preserve">, habiéndose puesto de manifiesto un adelanto de entre 10-15 años en la edad de aparición de la misma en personas de nivel socioeconómico bajo </w:t>
      </w:r>
      <w:r w:rsidRPr="00CA04CC">
        <w:rPr>
          <w:rFonts w:ascii="Arial" w:hAnsi="Arial" w:cs="Arial"/>
          <w:sz w:val="24"/>
          <w:vertAlign w:val="superscript"/>
        </w:rPr>
        <w:t>(</w:t>
      </w:r>
      <w:r>
        <w:rPr>
          <w:rFonts w:ascii="Arial" w:hAnsi="Arial" w:cs="Arial"/>
          <w:sz w:val="24"/>
          <w:vertAlign w:val="superscript"/>
        </w:rPr>
        <w:t>14,15</w:t>
      </w:r>
      <w:r w:rsidRPr="00CA04CC">
        <w:rPr>
          <w:rFonts w:ascii="Arial" w:hAnsi="Arial" w:cs="Arial"/>
          <w:sz w:val="24"/>
          <w:vertAlign w:val="superscript"/>
        </w:rPr>
        <w:t>)</w:t>
      </w:r>
      <w:r w:rsidRPr="00CA04CC">
        <w:rPr>
          <w:rFonts w:ascii="Arial" w:hAnsi="Arial" w:cs="Arial"/>
          <w:sz w:val="24"/>
        </w:rPr>
        <w:t>.</w:t>
      </w:r>
    </w:p>
    <w:p w:rsidR="00CA04CC" w:rsidRPr="00CA04CC" w:rsidRDefault="00CA04CC" w:rsidP="00CA04CC">
      <w:pPr>
        <w:jc w:val="both"/>
        <w:rPr>
          <w:rFonts w:ascii="Arial" w:hAnsi="Arial" w:cs="Arial"/>
          <w:sz w:val="24"/>
        </w:rPr>
      </w:pPr>
      <w:r w:rsidRPr="00CA04CC">
        <w:rPr>
          <w:rFonts w:ascii="Arial" w:hAnsi="Arial" w:cs="Arial"/>
          <w:sz w:val="24"/>
        </w:rPr>
        <w:t xml:space="preserve">La multimorbilidad ocasiona consecuencias negativas para la persona e importantes retos para los sistemas sanitarios. No se trata de la suma aritmética de enfermedades y no basta adicionar el conocimiento de una al de la otra porque las influencias recíprocas son muchas y variadas. Puede provocar interacciones  entre  los  trastornos, entre  una  afección  y  las  recomendaciones de  tratamiento  para otra afección y entre los medicamentos recetados para diferentes las diferentes afecciones o condiciones que de ellas se generan, lo que complejiza su abordaje e incrementa el riesgo de producirse errores médicos al superponerse la intervención de múltiples especialidades. Su impacto en la capacidad intrínseca, en la capacidad funcional, la calidad de vida y el riesgo de fragilidad, hospitalizaciones por eventos de agudización de las enfermedades, reingresos y mortalidad, es considerablemente mayor que la suma de los efectos individuales de las afecciones crónicas </w:t>
      </w:r>
      <w:r w:rsidRPr="00CA04CC">
        <w:rPr>
          <w:rFonts w:ascii="Arial" w:hAnsi="Arial" w:cs="Arial"/>
          <w:sz w:val="24"/>
          <w:vertAlign w:val="superscript"/>
        </w:rPr>
        <w:t>(</w:t>
      </w:r>
      <w:r>
        <w:rPr>
          <w:rFonts w:ascii="Arial" w:hAnsi="Arial" w:cs="Arial"/>
          <w:sz w:val="24"/>
          <w:vertAlign w:val="superscript"/>
        </w:rPr>
        <w:t>16</w:t>
      </w:r>
      <w:r w:rsidRPr="00CA04CC">
        <w:rPr>
          <w:rFonts w:ascii="Arial" w:hAnsi="Arial" w:cs="Arial"/>
          <w:sz w:val="24"/>
          <w:vertAlign w:val="superscript"/>
        </w:rPr>
        <w:t>)</w:t>
      </w:r>
      <w:r w:rsidRPr="00CA04CC">
        <w:rPr>
          <w:rFonts w:ascii="Arial" w:hAnsi="Arial" w:cs="Arial"/>
          <w:sz w:val="24"/>
        </w:rPr>
        <w:t xml:space="preserve">. </w:t>
      </w:r>
    </w:p>
    <w:p w:rsidR="00CA04CC" w:rsidRDefault="00CA04CC" w:rsidP="00CA04CC">
      <w:pPr>
        <w:jc w:val="both"/>
        <w:rPr>
          <w:rFonts w:ascii="Arial" w:hAnsi="Arial" w:cs="Arial"/>
          <w:bCs/>
          <w:sz w:val="24"/>
        </w:rPr>
      </w:pPr>
      <w:r w:rsidRPr="00CA04CC">
        <w:rPr>
          <w:rFonts w:ascii="Arial" w:hAnsi="Arial" w:cs="Arial"/>
          <w:sz w:val="24"/>
        </w:rPr>
        <w:t>Entre las enfermedades crónicas que han devenido en un increment</w:t>
      </w:r>
      <w:r>
        <w:rPr>
          <w:rFonts w:ascii="Arial" w:hAnsi="Arial" w:cs="Arial"/>
          <w:sz w:val="24"/>
        </w:rPr>
        <w:t>o notable a nivel mundial y regional</w:t>
      </w:r>
      <w:r w:rsidRPr="00CA04CC">
        <w:rPr>
          <w:rFonts w:ascii="Arial" w:hAnsi="Arial" w:cs="Arial"/>
          <w:sz w:val="24"/>
        </w:rPr>
        <w:t xml:space="preserve">, las afecciones neurodegenerativas, </w:t>
      </w:r>
      <w:r w:rsidRPr="00CA04CC">
        <w:rPr>
          <w:rFonts w:ascii="Arial" w:hAnsi="Arial" w:cs="Arial"/>
          <w:bCs/>
          <w:sz w:val="24"/>
        </w:rPr>
        <w:t xml:space="preserve">entre las que destaca la enfermedad de Alzheimer (EA), muestran una tendencia notablemente creciente y están siendo cada vez más reportadas entre las causas de morbilidad crónica y mortalidad en las personas mayores, aun cuando persisten </w:t>
      </w:r>
      <w:proofErr w:type="spellStart"/>
      <w:r w:rsidRPr="00CA04CC">
        <w:rPr>
          <w:rFonts w:ascii="Arial" w:hAnsi="Arial" w:cs="Arial"/>
          <w:bCs/>
          <w:sz w:val="24"/>
        </w:rPr>
        <w:t>subregistros</w:t>
      </w:r>
      <w:proofErr w:type="spellEnd"/>
      <w:r w:rsidRPr="00CA04CC">
        <w:rPr>
          <w:rFonts w:ascii="Arial" w:hAnsi="Arial" w:cs="Arial"/>
          <w:bCs/>
          <w:sz w:val="24"/>
        </w:rPr>
        <w:t xml:space="preserve">. En países como Inglaterra y Estados Unidos la demencia representa una de las primeras causas de muerte y se estima que un tercio de la población mayor de 60 años muere con esta condición </w:t>
      </w:r>
      <w:r w:rsidRPr="00CA04CC">
        <w:rPr>
          <w:rFonts w:ascii="Arial" w:hAnsi="Arial" w:cs="Arial"/>
          <w:bCs/>
          <w:sz w:val="24"/>
          <w:vertAlign w:val="superscript"/>
        </w:rPr>
        <w:t>(</w:t>
      </w:r>
      <w:r>
        <w:rPr>
          <w:rFonts w:ascii="Arial" w:hAnsi="Arial" w:cs="Arial"/>
          <w:bCs/>
          <w:sz w:val="24"/>
          <w:vertAlign w:val="superscript"/>
        </w:rPr>
        <w:t>17</w:t>
      </w:r>
      <w:r w:rsidRPr="00CA04CC">
        <w:rPr>
          <w:rFonts w:ascii="Arial" w:hAnsi="Arial" w:cs="Arial"/>
          <w:bCs/>
          <w:sz w:val="24"/>
          <w:vertAlign w:val="superscript"/>
        </w:rPr>
        <w:t>)</w:t>
      </w:r>
      <w:r w:rsidRPr="00CA04CC">
        <w:rPr>
          <w:rFonts w:ascii="Arial" w:hAnsi="Arial" w:cs="Arial"/>
          <w:bCs/>
          <w:sz w:val="24"/>
        </w:rPr>
        <w:t xml:space="preserve">, con estimados de supervivencia entre 3.3 y 11.7 años luego de presentarla. </w:t>
      </w:r>
    </w:p>
    <w:p w:rsidR="00CA04CC" w:rsidRDefault="00CA04CC" w:rsidP="00CA04CC">
      <w:pPr>
        <w:jc w:val="both"/>
        <w:rPr>
          <w:rFonts w:ascii="Arial" w:hAnsi="Arial" w:cs="Arial"/>
          <w:bCs/>
          <w:sz w:val="24"/>
        </w:rPr>
      </w:pPr>
      <w:r w:rsidRPr="00CA04CC">
        <w:rPr>
          <w:rFonts w:ascii="Arial" w:hAnsi="Arial" w:cs="Arial"/>
          <w:bCs/>
          <w:sz w:val="24"/>
        </w:rPr>
        <w:t xml:space="preserve">Las demencias en general y la enfermedad de Alzheimer en particular, se han convertido en un problema creciente en el orden médico, social, económico y fundamentalmente humano en los países con una elevada esperanza de vida. La demencia se erige como la primera causa de discapacidad en las personas </w:t>
      </w:r>
      <w:r w:rsidRPr="00CA04CC">
        <w:rPr>
          <w:rFonts w:ascii="Arial" w:hAnsi="Arial" w:cs="Arial"/>
          <w:bCs/>
          <w:sz w:val="24"/>
        </w:rPr>
        <w:lastRenderedPageBreak/>
        <w:t>mayores y la mayor contribuyente de dependencia, necesidades de cuidados,  repercusiones psicológicas en los cuidadores y sobrecarga económica</w:t>
      </w:r>
      <w:r>
        <w:rPr>
          <w:rFonts w:ascii="Arial" w:hAnsi="Arial" w:cs="Arial"/>
          <w:bCs/>
          <w:sz w:val="24"/>
        </w:rPr>
        <w:t>.</w:t>
      </w:r>
    </w:p>
    <w:p w:rsidR="00CA04CC" w:rsidRPr="00CA04CC" w:rsidRDefault="00CA04CC" w:rsidP="00CA04CC">
      <w:pPr>
        <w:jc w:val="both"/>
        <w:rPr>
          <w:rFonts w:ascii="Arial" w:hAnsi="Arial" w:cs="Arial"/>
          <w:bCs/>
          <w:sz w:val="24"/>
        </w:rPr>
      </w:pPr>
      <w:r w:rsidRPr="00CA04CC">
        <w:rPr>
          <w:rFonts w:ascii="Arial" w:hAnsi="Arial" w:cs="Arial"/>
          <w:bCs/>
          <w:sz w:val="24"/>
        </w:rPr>
        <w:t xml:space="preserve">Según la OMS, de 3,4 millones de personas con demencia en América Latina y el Caribe en la actualidad, la cifra se incrementará a 9,1 millones en el 2040. Europa  Occidental y Norteamérica presentan las mayores prevalencias de demencia en la población de 60 años o más (7,2 y 6,9 % respectivamente), seguidas por el Caribe Insular  (6,5 %) y Latinoamérica (6,0 %) </w:t>
      </w:r>
      <w:r w:rsidRPr="00CA04CC">
        <w:rPr>
          <w:rFonts w:ascii="Arial" w:hAnsi="Arial" w:cs="Arial"/>
          <w:bCs/>
          <w:sz w:val="24"/>
          <w:vertAlign w:val="superscript"/>
        </w:rPr>
        <w:t>(</w:t>
      </w:r>
      <w:r>
        <w:rPr>
          <w:rFonts w:ascii="Arial" w:hAnsi="Arial" w:cs="Arial"/>
          <w:bCs/>
          <w:sz w:val="24"/>
          <w:vertAlign w:val="superscript"/>
        </w:rPr>
        <w:t>18,19</w:t>
      </w:r>
      <w:r w:rsidRPr="00CA04CC">
        <w:rPr>
          <w:rFonts w:ascii="Arial" w:hAnsi="Arial" w:cs="Arial"/>
          <w:bCs/>
          <w:sz w:val="24"/>
          <w:vertAlign w:val="superscript"/>
        </w:rPr>
        <w:t>)</w:t>
      </w:r>
      <w:r w:rsidRPr="00CA04CC">
        <w:rPr>
          <w:rFonts w:ascii="Arial" w:hAnsi="Arial" w:cs="Arial"/>
          <w:bCs/>
          <w:sz w:val="24"/>
        </w:rPr>
        <w:t>.</w:t>
      </w:r>
    </w:p>
    <w:p w:rsidR="000966BE" w:rsidRDefault="00CA04CC" w:rsidP="00CA04CC">
      <w:pPr>
        <w:jc w:val="both"/>
        <w:rPr>
          <w:rFonts w:ascii="Arial" w:hAnsi="Arial" w:cs="Arial"/>
          <w:bCs/>
          <w:sz w:val="24"/>
        </w:rPr>
      </w:pPr>
      <w:r w:rsidRPr="00CA04CC">
        <w:rPr>
          <w:rFonts w:ascii="Arial" w:hAnsi="Arial" w:cs="Arial"/>
          <w:bCs/>
          <w:sz w:val="24"/>
        </w:rPr>
        <w:t xml:space="preserve">Los países de ingresos bajos o medios, afectados por otros problemas de salud de gran magnitud, como las enfermedades infectocontagiosas, así como la pobreza y las migraciones, con un gran impacto en sus débiles economías, albergan más de la mitad de las personas con demencia, ámbitos donde solamente el 10% de esas  personas son diagnosticadas.  Actualmente, el 58% de las personas con demencia viven en países de bajos y medianos ingresos y se pronostica un ascenso al 71% para el año 2050 </w:t>
      </w:r>
      <w:r w:rsidRPr="00CA04CC">
        <w:rPr>
          <w:rFonts w:ascii="Arial" w:hAnsi="Arial" w:cs="Arial"/>
          <w:bCs/>
          <w:sz w:val="24"/>
          <w:vertAlign w:val="superscript"/>
        </w:rPr>
        <w:t>(</w:t>
      </w:r>
      <w:r>
        <w:rPr>
          <w:rFonts w:ascii="Arial" w:hAnsi="Arial" w:cs="Arial"/>
          <w:bCs/>
          <w:sz w:val="24"/>
          <w:vertAlign w:val="superscript"/>
        </w:rPr>
        <w:t>20</w:t>
      </w:r>
      <w:r w:rsidRPr="00CA04CC">
        <w:rPr>
          <w:rFonts w:ascii="Arial" w:hAnsi="Arial" w:cs="Arial"/>
          <w:bCs/>
          <w:sz w:val="24"/>
          <w:vertAlign w:val="superscript"/>
        </w:rPr>
        <w:t>)</w:t>
      </w:r>
      <w:r w:rsidRPr="00CA04CC">
        <w:rPr>
          <w:rFonts w:ascii="Arial" w:hAnsi="Arial" w:cs="Arial"/>
          <w:bCs/>
          <w:sz w:val="24"/>
        </w:rPr>
        <w:t>. Estas condiciones demandarán una mayor colaboración de los países de altos ingresos con los países en desarrollo en cuanto a la investigación y el tratamiento de la demencia.</w:t>
      </w:r>
    </w:p>
    <w:p w:rsidR="00CA04CC" w:rsidRPr="00CA04CC" w:rsidRDefault="000966BE" w:rsidP="00CA04CC">
      <w:pPr>
        <w:jc w:val="both"/>
        <w:rPr>
          <w:rFonts w:ascii="Arial" w:hAnsi="Arial" w:cs="Arial"/>
          <w:bCs/>
          <w:sz w:val="24"/>
        </w:rPr>
      </w:pPr>
      <w:r>
        <w:rPr>
          <w:rFonts w:ascii="Arial" w:hAnsi="Arial" w:cs="Arial"/>
          <w:bCs/>
          <w:sz w:val="24"/>
        </w:rPr>
        <w:t>C</w:t>
      </w:r>
      <w:r w:rsidRPr="000966BE">
        <w:rPr>
          <w:rFonts w:ascii="Arial" w:hAnsi="Arial" w:cs="Arial"/>
          <w:bCs/>
          <w:sz w:val="24"/>
        </w:rPr>
        <w:t>on el fin de proporcionar elementos que contribuyan a la identificación de condiciones que imprimen mayor riesgo de sufrir deterioro del estado cognitivo de mantenerse sin una adecuada prevención e intervención oportuna y temprana,</w:t>
      </w:r>
      <w:r>
        <w:rPr>
          <w:rFonts w:ascii="Arial" w:hAnsi="Arial" w:cs="Arial"/>
          <w:bCs/>
          <w:sz w:val="24"/>
        </w:rPr>
        <w:t xml:space="preserve"> se ha realizado la presente revisión. </w:t>
      </w:r>
      <w:r w:rsidR="00CA04CC" w:rsidRPr="00CA04CC">
        <w:rPr>
          <w:rFonts w:ascii="Arial" w:hAnsi="Arial" w:cs="Arial"/>
          <w:bCs/>
          <w:sz w:val="24"/>
        </w:rPr>
        <w:t xml:space="preserve">  </w:t>
      </w:r>
    </w:p>
    <w:p w:rsidR="00C9473D" w:rsidRPr="00694347" w:rsidRDefault="00694347" w:rsidP="00CD6635">
      <w:pPr>
        <w:rPr>
          <w:rFonts w:ascii="Arial" w:hAnsi="Arial" w:cs="Arial"/>
          <w:b/>
          <w:sz w:val="24"/>
        </w:rPr>
      </w:pPr>
      <w:r w:rsidRPr="00694347">
        <w:rPr>
          <w:rFonts w:ascii="Arial" w:hAnsi="Arial" w:cs="Arial"/>
          <w:b/>
          <w:sz w:val="24"/>
        </w:rPr>
        <w:t xml:space="preserve">DESARROLLO TEMÁTICO. </w:t>
      </w:r>
    </w:p>
    <w:p w:rsidR="002A4636" w:rsidRDefault="002A4636" w:rsidP="002A4636">
      <w:pPr>
        <w:pStyle w:val="Prrafodelista"/>
        <w:numPr>
          <w:ilvl w:val="0"/>
          <w:numId w:val="9"/>
        </w:numPr>
        <w:tabs>
          <w:tab w:val="left" w:pos="0"/>
        </w:tabs>
        <w:spacing w:after="0" w:line="360" w:lineRule="auto"/>
        <w:ind w:left="284" w:hanging="284"/>
        <w:jc w:val="both"/>
        <w:rPr>
          <w:rFonts w:ascii="Arial" w:hAnsi="Arial" w:cs="Arial"/>
          <w:b/>
          <w:bCs/>
          <w:sz w:val="24"/>
          <w:u w:val="single"/>
          <w:lang w:val="es-ES"/>
        </w:rPr>
      </w:pPr>
      <w:r w:rsidRPr="002A4636">
        <w:rPr>
          <w:rFonts w:ascii="Arial" w:hAnsi="Arial" w:cs="Arial"/>
          <w:b/>
          <w:bCs/>
          <w:sz w:val="24"/>
          <w:u w:val="single"/>
          <w:lang w:val="es-ES"/>
        </w:rPr>
        <w:t>Multimorbilidad:</w:t>
      </w:r>
      <w:r w:rsidRPr="002A4636">
        <w:rPr>
          <w:rFonts w:ascii="Arial" w:hAnsi="Arial" w:cs="Arial"/>
          <w:b/>
          <w:bCs/>
          <w:sz w:val="24"/>
          <w:u w:val="single"/>
          <w:lang w:val="es-ES"/>
        </w:rPr>
        <w:t xml:space="preserve"> </w:t>
      </w:r>
      <w:r w:rsidRPr="002A4636">
        <w:rPr>
          <w:rFonts w:ascii="Arial" w:hAnsi="Arial" w:cs="Arial"/>
          <w:b/>
          <w:bCs/>
          <w:sz w:val="24"/>
          <w:u w:val="single"/>
          <w:lang w:val="es-ES"/>
        </w:rPr>
        <w:t xml:space="preserve">Antecedentes, conceptualización y medición. </w:t>
      </w:r>
    </w:p>
    <w:p w:rsidR="002A4636" w:rsidRPr="002A4636" w:rsidRDefault="002A4636" w:rsidP="002A4636">
      <w:pPr>
        <w:pStyle w:val="Prrafodelista"/>
        <w:tabs>
          <w:tab w:val="left" w:pos="0"/>
        </w:tabs>
        <w:spacing w:after="0" w:line="360" w:lineRule="auto"/>
        <w:ind w:left="284"/>
        <w:jc w:val="both"/>
        <w:rPr>
          <w:rFonts w:ascii="Arial" w:hAnsi="Arial" w:cs="Arial"/>
          <w:b/>
          <w:bCs/>
          <w:sz w:val="12"/>
          <w:u w:val="single"/>
          <w:lang w:val="es-ES"/>
        </w:rPr>
      </w:pPr>
    </w:p>
    <w:p w:rsidR="002A4636" w:rsidRPr="002A4636" w:rsidRDefault="002A4636" w:rsidP="002A4636">
      <w:pPr>
        <w:jc w:val="both"/>
        <w:rPr>
          <w:rFonts w:ascii="Arial" w:hAnsi="Arial" w:cs="Arial"/>
          <w:bCs/>
          <w:sz w:val="24"/>
        </w:rPr>
      </w:pPr>
      <w:r w:rsidRPr="002A4636">
        <w:rPr>
          <w:rFonts w:ascii="Arial" w:hAnsi="Arial" w:cs="Arial"/>
          <w:bCs/>
          <w:sz w:val="24"/>
        </w:rPr>
        <w:t>El término «</w:t>
      </w:r>
      <w:proofErr w:type="spellStart"/>
      <w:r w:rsidRPr="002A4636">
        <w:rPr>
          <w:rFonts w:ascii="Arial" w:hAnsi="Arial" w:cs="Arial"/>
          <w:bCs/>
          <w:sz w:val="24"/>
        </w:rPr>
        <w:t>multimorbidity</w:t>
      </w:r>
      <w:proofErr w:type="spellEnd"/>
      <w:r w:rsidRPr="002A4636">
        <w:rPr>
          <w:rFonts w:ascii="Arial" w:hAnsi="Arial" w:cs="Arial"/>
          <w:bCs/>
          <w:sz w:val="24"/>
        </w:rPr>
        <w:t xml:space="preserve">» se empleó, por primera vez por </w:t>
      </w:r>
      <w:proofErr w:type="spellStart"/>
      <w:r w:rsidRPr="002A4636">
        <w:rPr>
          <w:rFonts w:ascii="Arial" w:hAnsi="Arial" w:cs="Arial"/>
          <w:bCs/>
          <w:sz w:val="24"/>
        </w:rPr>
        <w:t>Brandlmeier</w:t>
      </w:r>
      <w:proofErr w:type="spellEnd"/>
      <w:r w:rsidRPr="002A4636">
        <w:rPr>
          <w:rFonts w:ascii="Arial" w:hAnsi="Arial" w:cs="Arial"/>
          <w:bCs/>
          <w:sz w:val="24"/>
        </w:rPr>
        <w:t xml:space="preserve">, en Alemania en el año 1976 (38) y su uso se restringía a la literatura científica publicada en alemán. No fue hasta la década de los noventa que comenzó a  extenderse internacionalmente y en el año 2008, la Organización Mundial de la  Salud (OMS) </w:t>
      </w:r>
      <w:proofErr w:type="spellStart"/>
      <w:r w:rsidRPr="002A4636">
        <w:rPr>
          <w:rFonts w:ascii="Arial" w:hAnsi="Arial" w:cs="Arial"/>
          <w:bCs/>
          <w:sz w:val="24"/>
        </w:rPr>
        <w:t>deﬁnió</w:t>
      </w:r>
      <w:proofErr w:type="spellEnd"/>
      <w:r w:rsidRPr="002A4636">
        <w:rPr>
          <w:rFonts w:ascii="Arial" w:hAnsi="Arial" w:cs="Arial"/>
          <w:bCs/>
          <w:sz w:val="24"/>
        </w:rPr>
        <w:t xml:space="preserve"> como “la presencia simultánea de 2 o más enfermedades crónicas en un individuo” </w:t>
      </w:r>
      <w:r>
        <w:rPr>
          <w:rFonts w:ascii="Arial" w:hAnsi="Arial" w:cs="Arial"/>
          <w:bCs/>
          <w:sz w:val="24"/>
          <w:vertAlign w:val="superscript"/>
        </w:rPr>
        <w:t>(21</w:t>
      </w:r>
      <w:r w:rsidRPr="002A4636">
        <w:rPr>
          <w:rFonts w:ascii="Arial" w:hAnsi="Arial" w:cs="Arial"/>
          <w:bCs/>
          <w:sz w:val="24"/>
          <w:vertAlign w:val="superscript"/>
        </w:rPr>
        <w:t>)</w:t>
      </w:r>
      <w:r w:rsidRPr="002A4636">
        <w:rPr>
          <w:rFonts w:ascii="Arial" w:hAnsi="Arial" w:cs="Arial"/>
          <w:bCs/>
          <w:sz w:val="24"/>
        </w:rPr>
        <w:t xml:space="preserve">. </w:t>
      </w:r>
    </w:p>
    <w:p w:rsidR="002A4636" w:rsidRPr="002A4636" w:rsidRDefault="002A4636" w:rsidP="002A4636">
      <w:pPr>
        <w:jc w:val="both"/>
        <w:rPr>
          <w:rFonts w:ascii="Arial" w:hAnsi="Arial" w:cs="Arial"/>
          <w:bCs/>
          <w:sz w:val="24"/>
        </w:rPr>
      </w:pPr>
      <w:r w:rsidRPr="002A4636">
        <w:rPr>
          <w:rFonts w:ascii="Arial" w:hAnsi="Arial" w:cs="Arial"/>
          <w:bCs/>
          <w:sz w:val="24"/>
        </w:rPr>
        <w:t xml:space="preserve">En 1996, Van den </w:t>
      </w:r>
      <w:proofErr w:type="spellStart"/>
      <w:r w:rsidRPr="002A4636">
        <w:rPr>
          <w:rFonts w:ascii="Arial" w:hAnsi="Arial" w:cs="Arial"/>
          <w:bCs/>
          <w:sz w:val="24"/>
        </w:rPr>
        <w:t>Akker</w:t>
      </w:r>
      <w:proofErr w:type="spellEnd"/>
      <w:r w:rsidRPr="002A4636">
        <w:rPr>
          <w:rFonts w:ascii="Arial" w:hAnsi="Arial" w:cs="Arial"/>
          <w:bCs/>
          <w:sz w:val="24"/>
        </w:rPr>
        <w:t xml:space="preserve"> redefinió los conceptos y reservó multimorbilidad para describir la "concurrencia de múltiples enfermedades agudas o crónicas y situaciones médicas en la misma persona independientemente de una enfermedad índice", concepto similar al de </w:t>
      </w:r>
      <w:proofErr w:type="spellStart"/>
      <w:r w:rsidRPr="002A4636">
        <w:rPr>
          <w:rFonts w:ascii="Arial" w:hAnsi="Arial" w:cs="Arial"/>
          <w:bCs/>
          <w:sz w:val="24"/>
        </w:rPr>
        <w:t>pluripatología</w:t>
      </w:r>
      <w:proofErr w:type="spellEnd"/>
      <w:r w:rsidRPr="002A4636">
        <w:rPr>
          <w:rFonts w:ascii="Arial" w:hAnsi="Arial" w:cs="Arial"/>
          <w:bCs/>
          <w:sz w:val="24"/>
        </w:rPr>
        <w:t xml:space="preserve">, que diferentes autores han cuantificado de muy diversas maneras según el número, el tipo y la gravedad de las enfermedades </w:t>
      </w:r>
      <w:r>
        <w:rPr>
          <w:rFonts w:ascii="Arial" w:hAnsi="Arial" w:cs="Arial"/>
          <w:bCs/>
          <w:sz w:val="24"/>
          <w:vertAlign w:val="superscript"/>
        </w:rPr>
        <w:t>(22</w:t>
      </w:r>
      <w:r w:rsidRPr="002A4636">
        <w:rPr>
          <w:rFonts w:ascii="Arial" w:hAnsi="Arial" w:cs="Arial"/>
          <w:bCs/>
          <w:sz w:val="24"/>
          <w:vertAlign w:val="superscript"/>
        </w:rPr>
        <w:t>)</w:t>
      </w:r>
      <w:r w:rsidRPr="002A4636">
        <w:rPr>
          <w:rFonts w:ascii="Arial" w:hAnsi="Arial" w:cs="Arial"/>
          <w:bCs/>
          <w:sz w:val="24"/>
        </w:rPr>
        <w:t>.</w:t>
      </w:r>
    </w:p>
    <w:p w:rsidR="002A4636" w:rsidRPr="002A4636" w:rsidRDefault="002A4636" w:rsidP="002A4636">
      <w:pPr>
        <w:jc w:val="both"/>
        <w:rPr>
          <w:rFonts w:ascii="Arial" w:hAnsi="Arial" w:cs="Arial"/>
          <w:bCs/>
          <w:sz w:val="24"/>
        </w:rPr>
      </w:pPr>
      <w:r w:rsidRPr="002A4636">
        <w:rPr>
          <w:rFonts w:ascii="Arial" w:hAnsi="Arial" w:cs="Arial"/>
          <w:bCs/>
          <w:sz w:val="24"/>
        </w:rPr>
        <w:t xml:space="preserve">En el año 2015 se tradujo dicho término a 10 lenguas europeas para su utilización en la Medicina de Familia, </w:t>
      </w:r>
      <w:proofErr w:type="spellStart"/>
      <w:r w:rsidRPr="002A4636">
        <w:rPr>
          <w:rFonts w:ascii="Arial" w:hAnsi="Arial" w:cs="Arial"/>
          <w:bCs/>
          <w:sz w:val="24"/>
        </w:rPr>
        <w:t>deﬁniéndose</w:t>
      </w:r>
      <w:proofErr w:type="spellEnd"/>
      <w:r w:rsidRPr="002A4636">
        <w:rPr>
          <w:rFonts w:ascii="Arial" w:hAnsi="Arial" w:cs="Arial"/>
          <w:bCs/>
          <w:sz w:val="24"/>
        </w:rPr>
        <w:t xml:space="preserve"> en español  el  término «multimorbilidad». En un esfuerzo reciente por mejorar la definición de </w:t>
      </w:r>
      <w:r w:rsidRPr="002A4636">
        <w:rPr>
          <w:rFonts w:ascii="Arial" w:hAnsi="Arial" w:cs="Arial"/>
          <w:bCs/>
          <w:sz w:val="24"/>
        </w:rPr>
        <w:lastRenderedPageBreak/>
        <w:t xml:space="preserve">multimorbilidad de la OMS y tomar en consideración las propuestas de otros autores, la </w:t>
      </w:r>
      <w:proofErr w:type="spellStart"/>
      <w:r w:rsidRPr="002A4636">
        <w:rPr>
          <w:rFonts w:ascii="Arial" w:hAnsi="Arial" w:cs="Arial"/>
          <w:bCs/>
          <w:sz w:val="24"/>
        </w:rPr>
        <w:t>European</w:t>
      </w:r>
      <w:proofErr w:type="spellEnd"/>
      <w:r w:rsidRPr="002A4636">
        <w:rPr>
          <w:rFonts w:ascii="Arial" w:hAnsi="Arial" w:cs="Arial"/>
          <w:bCs/>
          <w:sz w:val="24"/>
        </w:rPr>
        <w:t xml:space="preserve"> General </w:t>
      </w:r>
      <w:proofErr w:type="spellStart"/>
      <w:r w:rsidRPr="002A4636">
        <w:rPr>
          <w:rFonts w:ascii="Arial" w:hAnsi="Arial" w:cs="Arial"/>
          <w:bCs/>
          <w:sz w:val="24"/>
        </w:rPr>
        <w:t>Practice</w:t>
      </w:r>
      <w:proofErr w:type="spellEnd"/>
      <w:r w:rsidRPr="002A4636">
        <w:rPr>
          <w:rFonts w:ascii="Arial" w:hAnsi="Arial" w:cs="Arial"/>
          <w:bCs/>
          <w:sz w:val="24"/>
        </w:rPr>
        <w:t xml:space="preserve"> </w:t>
      </w:r>
      <w:proofErr w:type="spellStart"/>
      <w:r w:rsidRPr="002A4636">
        <w:rPr>
          <w:rFonts w:ascii="Arial" w:hAnsi="Arial" w:cs="Arial"/>
          <w:bCs/>
          <w:sz w:val="24"/>
        </w:rPr>
        <w:t>Research</w:t>
      </w:r>
      <w:proofErr w:type="spellEnd"/>
      <w:r w:rsidRPr="002A4636">
        <w:rPr>
          <w:rFonts w:ascii="Arial" w:hAnsi="Arial" w:cs="Arial"/>
          <w:bCs/>
          <w:sz w:val="24"/>
        </w:rPr>
        <w:t xml:space="preserve"> Network plantea acuñarla como «cualquier combinación de una enfermedad crónica con, al menos, otra enfermedad (aguda o crónica) o un factor biopsicosocial (asociado o no) o un factor de riesgo» </w:t>
      </w:r>
      <w:r w:rsidRPr="00D422E6">
        <w:rPr>
          <w:rFonts w:ascii="Arial" w:hAnsi="Arial" w:cs="Arial"/>
          <w:bCs/>
          <w:sz w:val="24"/>
          <w:vertAlign w:val="superscript"/>
        </w:rPr>
        <w:t>(</w:t>
      </w:r>
      <w:r w:rsidR="00D422E6">
        <w:rPr>
          <w:rFonts w:ascii="Arial" w:hAnsi="Arial" w:cs="Arial"/>
          <w:bCs/>
          <w:sz w:val="24"/>
          <w:vertAlign w:val="superscript"/>
        </w:rPr>
        <w:t>23</w:t>
      </w:r>
      <w:r w:rsidRPr="00D422E6">
        <w:rPr>
          <w:rFonts w:ascii="Arial" w:hAnsi="Arial" w:cs="Arial"/>
          <w:bCs/>
          <w:sz w:val="24"/>
          <w:vertAlign w:val="superscript"/>
        </w:rPr>
        <w:t>)</w:t>
      </w:r>
      <w:r w:rsidRPr="002A4636">
        <w:rPr>
          <w:rFonts w:ascii="Arial" w:hAnsi="Arial" w:cs="Arial"/>
          <w:bCs/>
          <w:sz w:val="24"/>
        </w:rPr>
        <w:t xml:space="preserve"> pero no existe un consenso en cuanto a lista de condiciones y/o enfermedades físicas y mentales a tener en cuenta y a la incorporación de la repercusión de las mismas, de forma tal  que permita la estandarización para el establecimiento de comparaciones entre los estudios. </w:t>
      </w:r>
    </w:p>
    <w:p w:rsidR="002A4636" w:rsidRPr="002A4636" w:rsidRDefault="002A4636" w:rsidP="002A4636">
      <w:pPr>
        <w:jc w:val="both"/>
        <w:rPr>
          <w:rFonts w:ascii="Arial" w:hAnsi="Arial" w:cs="Arial"/>
          <w:bCs/>
          <w:sz w:val="24"/>
        </w:rPr>
      </w:pPr>
      <w:r w:rsidRPr="002A4636">
        <w:rPr>
          <w:rFonts w:ascii="Arial" w:hAnsi="Arial" w:cs="Arial"/>
          <w:bCs/>
          <w:sz w:val="24"/>
        </w:rPr>
        <w:t xml:space="preserve">La definición de la OMS y el conteo de las enfermedades sigue siendo la estrategia de medición de la multimorbilidad más utilizada en la mayoría de los estudios epidemiológicos, en los que se la evalúa como variable de confusión y en los que se estudia su papel como elemento predictor de diversas situaciones de salud; asimismo, es la base para establecer la definición del punto de corte (número de enfermedades) por encima del cual se considera que la condición está presente, lo que permite estimar las prevalencias poblacionales de la multimorbilidad </w:t>
      </w:r>
      <w:r w:rsidRPr="00D422E6">
        <w:rPr>
          <w:rFonts w:ascii="Arial" w:hAnsi="Arial" w:cs="Arial"/>
          <w:bCs/>
          <w:sz w:val="24"/>
          <w:vertAlign w:val="superscript"/>
        </w:rPr>
        <w:t>(</w:t>
      </w:r>
      <w:r w:rsidR="00D422E6">
        <w:rPr>
          <w:rFonts w:ascii="Arial" w:hAnsi="Arial" w:cs="Arial"/>
          <w:bCs/>
          <w:sz w:val="24"/>
          <w:vertAlign w:val="superscript"/>
        </w:rPr>
        <w:t>2</w:t>
      </w:r>
      <w:r w:rsidRPr="00D422E6">
        <w:rPr>
          <w:rFonts w:ascii="Arial" w:hAnsi="Arial" w:cs="Arial"/>
          <w:bCs/>
          <w:sz w:val="24"/>
          <w:vertAlign w:val="superscript"/>
        </w:rPr>
        <w:t>4)</w:t>
      </w:r>
      <w:r w:rsidRPr="002A4636">
        <w:rPr>
          <w:rFonts w:ascii="Arial" w:hAnsi="Arial" w:cs="Arial"/>
          <w:bCs/>
          <w:sz w:val="24"/>
        </w:rPr>
        <w:t>.</w:t>
      </w:r>
    </w:p>
    <w:p w:rsidR="002A4636" w:rsidRPr="002A4636" w:rsidRDefault="002A4636" w:rsidP="002A4636">
      <w:pPr>
        <w:jc w:val="both"/>
        <w:rPr>
          <w:rFonts w:ascii="Arial" w:hAnsi="Arial" w:cs="Arial"/>
          <w:bCs/>
          <w:sz w:val="24"/>
        </w:rPr>
      </w:pPr>
      <w:r w:rsidRPr="002A4636">
        <w:rPr>
          <w:rFonts w:ascii="Arial" w:hAnsi="Arial" w:cs="Arial"/>
          <w:bCs/>
          <w:sz w:val="24"/>
        </w:rPr>
        <w:t xml:space="preserve">Diversas escalas son tenidas en cuenta para la medición de la </w:t>
      </w:r>
      <w:proofErr w:type="spellStart"/>
      <w:r w:rsidRPr="002A4636">
        <w:rPr>
          <w:rFonts w:ascii="Arial" w:hAnsi="Arial" w:cs="Arial"/>
          <w:bCs/>
          <w:sz w:val="24"/>
        </w:rPr>
        <w:t>mutimorbilidad</w:t>
      </w:r>
      <w:proofErr w:type="spellEnd"/>
      <w:r w:rsidRPr="002A4636">
        <w:rPr>
          <w:rFonts w:ascii="Arial" w:hAnsi="Arial" w:cs="Arial"/>
          <w:bCs/>
          <w:sz w:val="24"/>
        </w:rPr>
        <w:t xml:space="preserve">, entre ellas el Índice de Charlson, </w:t>
      </w:r>
      <w:proofErr w:type="spellStart"/>
      <w:r w:rsidRPr="002A4636">
        <w:rPr>
          <w:rFonts w:ascii="Arial" w:hAnsi="Arial" w:cs="Arial"/>
          <w:bCs/>
          <w:sz w:val="24"/>
        </w:rPr>
        <w:t>Chronic</w:t>
      </w:r>
      <w:proofErr w:type="spellEnd"/>
      <w:r w:rsidRPr="002A4636">
        <w:rPr>
          <w:rFonts w:ascii="Arial" w:hAnsi="Arial" w:cs="Arial"/>
          <w:bCs/>
          <w:sz w:val="24"/>
        </w:rPr>
        <w:t xml:space="preserve"> </w:t>
      </w:r>
      <w:proofErr w:type="spellStart"/>
      <w:r w:rsidRPr="002A4636">
        <w:rPr>
          <w:rFonts w:ascii="Arial" w:hAnsi="Arial" w:cs="Arial"/>
          <w:bCs/>
          <w:sz w:val="24"/>
        </w:rPr>
        <w:t>Disease</w:t>
      </w:r>
      <w:proofErr w:type="spellEnd"/>
      <w:r w:rsidRPr="002A4636">
        <w:rPr>
          <w:rFonts w:ascii="Arial" w:hAnsi="Arial" w:cs="Arial"/>
          <w:bCs/>
          <w:sz w:val="24"/>
        </w:rPr>
        <w:t xml:space="preserve"> Score, ACG </w:t>
      </w:r>
      <w:proofErr w:type="spellStart"/>
      <w:r w:rsidRPr="002A4636">
        <w:rPr>
          <w:rFonts w:ascii="Arial" w:hAnsi="Arial" w:cs="Arial"/>
          <w:bCs/>
          <w:sz w:val="24"/>
        </w:rPr>
        <w:t>System</w:t>
      </w:r>
      <w:proofErr w:type="spellEnd"/>
      <w:r w:rsidRPr="002A4636">
        <w:rPr>
          <w:rFonts w:ascii="Arial" w:hAnsi="Arial" w:cs="Arial"/>
          <w:bCs/>
          <w:sz w:val="24"/>
        </w:rPr>
        <w:t xml:space="preserve">, </w:t>
      </w:r>
      <w:proofErr w:type="spellStart"/>
      <w:r w:rsidRPr="002A4636">
        <w:rPr>
          <w:rFonts w:ascii="Arial" w:hAnsi="Arial" w:cs="Arial"/>
          <w:bCs/>
          <w:sz w:val="24"/>
        </w:rPr>
        <w:t>Cumulative</w:t>
      </w:r>
      <w:proofErr w:type="spellEnd"/>
      <w:r w:rsidRPr="002A4636">
        <w:rPr>
          <w:rFonts w:ascii="Arial" w:hAnsi="Arial" w:cs="Arial"/>
          <w:bCs/>
          <w:sz w:val="24"/>
        </w:rPr>
        <w:t xml:space="preserve"> </w:t>
      </w:r>
      <w:proofErr w:type="spellStart"/>
      <w:r w:rsidRPr="002A4636">
        <w:rPr>
          <w:rFonts w:ascii="Arial" w:hAnsi="Arial" w:cs="Arial"/>
          <w:bCs/>
          <w:sz w:val="24"/>
        </w:rPr>
        <w:t>Index</w:t>
      </w:r>
      <w:proofErr w:type="spellEnd"/>
      <w:r w:rsidRPr="002A4636">
        <w:rPr>
          <w:rFonts w:ascii="Arial" w:hAnsi="Arial" w:cs="Arial"/>
          <w:bCs/>
          <w:sz w:val="24"/>
        </w:rPr>
        <w:t xml:space="preserve"> Rating </w:t>
      </w:r>
      <w:proofErr w:type="spellStart"/>
      <w:r w:rsidRPr="002A4636">
        <w:rPr>
          <w:rFonts w:ascii="Arial" w:hAnsi="Arial" w:cs="Arial"/>
          <w:bCs/>
          <w:sz w:val="24"/>
        </w:rPr>
        <w:t>Scale</w:t>
      </w:r>
      <w:proofErr w:type="spellEnd"/>
      <w:r w:rsidRPr="002A4636">
        <w:rPr>
          <w:rFonts w:ascii="Arial" w:hAnsi="Arial" w:cs="Arial"/>
          <w:bCs/>
          <w:sz w:val="24"/>
        </w:rPr>
        <w:t xml:space="preserve">, Multidimensional </w:t>
      </w:r>
      <w:proofErr w:type="spellStart"/>
      <w:r w:rsidRPr="002A4636">
        <w:rPr>
          <w:rFonts w:ascii="Arial" w:hAnsi="Arial" w:cs="Arial"/>
          <w:bCs/>
          <w:sz w:val="24"/>
        </w:rPr>
        <w:t>Prognostic</w:t>
      </w:r>
      <w:proofErr w:type="spellEnd"/>
      <w:r w:rsidRPr="002A4636">
        <w:rPr>
          <w:rFonts w:ascii="Arial" w:hAnsi="Arial" w:cs="Arial"/>
          <w:bCs/>
          <w:sz w:val="24"/>
        </w:rPr>
        <w:t xml:space="preserve"> </w:t>
      </w:r>
      <w:proofErr w:type="spellStart"/>
      <w:r w:rsidRPr="002A4636">
        <w:rPr>
          <w:rFonts w:ascii="Arial" w:hAnsi="Arial" w:cs="Arial"/>
          <w:bCs/>
          <w:sz w:val="24"/>
        </w:rPr>
        <w:t>Index</w:t>
      </w:r>
      <w:proofErr w:type="spellEnd"/>
      <w:r w:rsidRPr="002A4636">
        <w:rPr>
          <w:rFonts w:ascii="Arial" w:hAnsi="Arial" w:cs="Arial"/>
          <w:bCs/>
          <w:sz w:val="24"/>
        </w:rPr>
        <w:t xml:space="preserve">, empleados fundamentalmente para la evaluación de eventos adversos de salud. Dentro de ellos, el más utilizado en los estudios y con mayor comparabilidad es el Índice de Charlson, validado como un buen predictor de la mortalidad y con mayor aplicabilidad en los pacientes hospitalizados.  </w:t>
      </w:r>
    </w:p>
    <w:p w:rsidR="002A4636" w:rsidRPr="00841A5D" w:rsidRDefault="002A4636" w:rsidP="00841A5D">
      <w:pPr>
        <w:numPr>
          <w:ilvl w:val="0"/>
          <w:numId w:val="10"/>
        </w:numPr>
        <w:tabs>
          <w:tab w:val="num" w:pos="284"/>
        </w:tabs>
        <w:ind w:left="284" w:hanging="284"/>
        <w:jc w:val="both"/>
        <w:rPr>
          <w:rFonts w:ascii="Arial" w:hAnsi="Arial" w:cs="Arial"/>
          <w:bCs/>
          <w:sz w:val="24"/>
        </w:rPr>
      </w:pPr>
      <w:r w:rsidRPr="00841A5D">
        <w:rPr>
          <w:rFonts w:ascii="Arial" w:hAnsi="Arial" w:cs="Arial"/>
          <w:b/>
          <w:bCs/>
          <w:sz w:val="24"/>
          <w:u w:val="single"/>
        </w:rPr>
        <w:t>Envejecimiento y deterioro cognitivo</w:t>
      </w:r>
      <w:r w:rsidR="00841A5D" w:rsidRPr="00841A5D">
        <w:rPr>
          <w:rFonts w:ascii="Arial" w:hAnsi="Arial" w:cs="Arial"/>
          <w:b/>
          <w:bCs/>
          <w:sz w:val="24"/>
        </w:rPr>
        <w:t xml:space="preserve">. </w:t>
      </w:r>
      <w:r w:rsidRPr="00841A5D">
        <w:rPr>
          <w:rFonts w:ascii="Arial" w:hAnsi="Arial" w:cs="Arial"/>
          <w:b/>
          <w:bCs/>
          <w:sz w:val="24"/>
        </w:rPr>
        <w:t>Antecedentes históricos, evolución conceptual de las demencias y aspectos epidemiológicos.</w:t>
      </w:r>
      <w:r w:rsidRPr="00841A5D">
        <w:rPr>
          <w:rFonts w:ascii="Arial" w:hAnsi="Arial" w:cs="Arial"/>
          <w:bCs/>
          <w:sz w:val="24"/>
        </w:rPr>
        <w:t xml:space="preserve"> </w:t>
      </w:r>
    </w:p>
    <w:p w:rsidR="002A4636" w:rsidRPr="002A4636" w:rsidRDefault="002A4636" w:rsidP="002A4636">
      <w:pPr>
        <w:jc w:val="both"/>
        <w:rPr>
          <w:rFonts w:ascii="Arial" w:hAnsi="Arial" w:cs="Arial"/>
          <w:bCs/>
          <w:sz w:val="24"/>
        </w:rPr>
      </w:pPr>
      <w:r w:rsidRPr="002A4636">
        <w:rPr>
          <w:rFonts w:ascii="Arial" w:hAnsi="Arial" w:cs="Arial"/>
          <w:bCs/>
          <w:sz w:val="24"/>
        </w:rPr>
        <w:t xml:space="preserve">A medida que se envejece existen patrones o determinados cambios  neurocognitivos asociados con este proceso, los cuales se reflejan fundamentalmente en una disminución en la velocidad y eficiencia del procesamiento de la información desde aproximadamente la quinta década de  vida, lo que tiende a acentuarse en décadas ulteriores. Dichas modificaciones pueden reflejar un envejecimiento normal o constituir la antesala para el envejecimiento anormal (demencia). El primero supondría un proceso de “desarrollo” cerebral normal y se relacionaría  con  los  cambios  cerebrales típicos  de la senectud; el segundo,  por  el contrario, sería resultante de cambios atípicos en la histología cerebral, que conllevan progresivamente a la pérdida no solo de las diferentes capacidades o dominios cognitivos, sino a la pérdida de las capacidades funcionales de los individuos, es decir, a demencia </w:t>
      </w:r>
      <w:r w:rsidR="00EB0109">
        <w:rPr>
          <w:rFonts w:ascii="Arial" w:hAnsi="Arial" w:cs="Arial"/>
          <w:bCs/>
          <w:sz w:val="24"/>
          <w:vertAlign w:val="superscript"/>
        </w:rPr>
        <w:t>(25</w:t>
      </w:r>
      <w:r w:rsidRPr="00EB0109">
        <w:rPr>
          <w:rFonts w:ascii="Arial" w:hAnsi="Arial" w:cs="Arial"/>
          <w:bCs/>
          <w:sz w:val="24"/>
          <w:vertAlign w:val="superscript"/>
        </w:rPr>
        <w:t>)</w:t>
      </w:r>
      <w:r w:rsidRPr="002A4636">
        <w:rPr>
          <w:rFonts w:ascii="Arial" w:hAnsi="Arial" w:cs="Arial"/>
          <w:bCs/>
          <w:sz w:val="24"/>
        </w:rPr>
        <w:t>.</w:t>
      </w:r>
    </w:p>
    <w:p w:rsidR="002A4636" w:rsidRPr="002A4636" w:rsidRDefault="002A4636" w:rsidP="002A4636">
      <w:pPr>
        <w:jc w:val="both"/>
        <w:rPr>
          <w:rFonts w:ascii="Arial" w:hAnsi="Arial" w:cs="Arial"/>
          <w:bCs/>
          <w:sz w:val="24"/>
        </w:rPr>
      </w:pPr>
      <w:r w:rsidRPr="002A4636">
        <w:rPr>
          <w:rFonts w:ascii="Arial" w:hAnsi="Arial" w:cs="Arial"/>
          <w:bCs/>
          <w:sz w:val="24"/>
        </w:rPr>
        <w:t xml:space="preserve">Una de las primeras referencias que se conoce del uso del término demencia, se  encuentra en el libro francés Des </w:t>
      </w:r>
      <w:proofErr w:type="spellStart"/>
      <w:r w:rsidRPr="002A4636">
        <w:rPr>
          <w:rFonts w:ascii="Arial" w:hAnsi="Arial" w:cs="Arial"/>
          <w:bCs/>
          <w:sz w:val="24"/>
        </w:rPr>
        <w:t>maladies</w:t>
      </w:r>
      <w:proofErr w:type="spellEnd"/>
      <w:r w:rsidRPr="002A4636">
        <w:rPr>
          <w:rFonts w:ascii="Arial" w:hAnsi="Arial" w:cs="Arial"/>
          <w:bCs/>
          <w:sz w:val="24"/>
        </w:rPr>
        <w:t xml:space="preserve"> mentales (1381), escrito por Jean </w:t>
      </w:r>
      <w:proofErr w:type="spellStart"/>
      <w:r w:rsidRPr="002A4636">
        <w:rPr>
          <w:rFonts w:ascii="Arial" w:hAnsi="Arial" w:cs="Arial"/>
          <w:bCs/>
          <w:sz w:val="24"/>
        </w:rPr>
        <w:t>Etienne</w:t>
      </w:r>
      <w:proofErr w:type="spellEnd"/>
      <w:r w:rsidRPr="002A4636">
        <w:rPr>
          <w:rFonts w:ascii="Arial" w:hAnsi="Arial" w:cs="Arial"/>
          <w:bCs/>
          <w:sz w:val="24"/>
        </w:rPr>
        <w:t xml:space="preserve"> Esquirol pero en el terreno de la investigación médica, quien </w:t>
      </w:r>
      <w:r w:rsidRPr="002A4636">
        <w:rPr>
          <w:rFonts w:ascii="Arial" w:hAnsi="Arial" w:cs="Arial"/>
          <w:bCs/>
          <w:sz w:val="24"/>
        </w:rPr>
        <w:lastRenderedPageBreak/>
        <w:t>propuso la primera descripción adecuada del síndrome fue uno de los fundadores de la  psiq</w:t>
      </w:r>
      <w:r w:rsidR="00EB0109">
        <w:rPr>
          <w:rFonts w:ascii="Arial" w:hAnsi="Arial" w:cs="Arial"/>
          <w:bCs/>
          <w:sz w:val="24"/>
        </w:rPr>
        <w:t xml:space="preserve">uiatría moderna, </w:t>
      </w:r>
      <w:proofErr w:type="spellStart"/>
      <w:r w:rsidR="00EB0109">
        <w:rPr>
          <w:rFonts w:ascii="Arial" w:hAnsi="Arial" w:cs="Arial"/>
          <w:bCs/>
          <w:sz w:val="24"/>
        </w:rPr>
        <w:t>Pilippe</w:t>
      </w:r>
      <w:proofErr w:type="spellEnd"/>
      <w:r w:rsidR="00EB0109">
        <w:rPr>
          <w:rFonts w:ascii="Arial" w:hAnsi="Arial" w:cs="Arial"/>
          <w:bCs/>
          <w:sz w:val="24"/>
        </w:rPr>
        <w:t xml:space="preserve"> Pinel</w:t>
      </w:r>
      <w:r w:rsidRPr="002A4636">
        <w:rPr>
          <w:rFonts w:ascii="Arial" w:hAnsi="Arial" w:cs="Arial"/>
          <w:bCs/>
          <w:sz w:val="24"/>
        </w:rPr>
        <w:t>.</w:t>
      </w:r>
    </w:p>
    <w:p w:rsidR="002A4636" w:rsidRPr="00EB0109" w:rsidRDefault="002A4636" w:rsidP="002A4636">
      <w:pPr>
        <w:jc w:val="both"/>
        <w:rPr>
          <w:rFonts w:ascii="Arial" w:hAnsi="Arial" w:cs="Arial"/>
          <w:bCs/>
          <w:sz w:val="24"/>
        </w:rPr>
      </w:pPr>
      <w:r w:rsidRPr="002A4636">
        <w:rPr>
          <w:rFonts w:ascii="Arial" w:hAnsi="Arial" w:cs="Arial"/>
          <w:bCs/>
          <w:sz w:val="24"/>
        </w:rPr>
        <w:t>Sin embargo, mucho antes de que se comenzase a utilizar el término demencia, el síndrome clínico había sido descrito en textos en el ámbito médico y fuera de éste, hechos que datan del año 2000 antes de Cristo (a.C.). Se cuenta con descripciones elaboradas por Pitágoras (siglo vii a.C.), Hipócrates (460-377 años  a.C.), Platón (384-322 a.C.) y Aristóteles (384-322 a.C.), entre otros, quienes  opinaban que las alteraciones mentales eran parte normal del proceso de envejecimiento. Otros autores como Cicerón (siglo ii a.C.), ubicaron estas alteraciones como parte de un proceso patológico referido como “debilidad senil”, que se presentaba sólo en quienes eran “débiles de voluntad”</w:t>
      </w:r>
      <w:r w:rsidR="00EB0109">
        <w:rPr>
          <w:rFonts w:ascii="Arial" w:hAnsi="Arial" w:cs="Arial"/>
          <w:bCs/>
          <w:sz w:val="24"/>
        </w:rPr>
        <w:t>.</w:t>
      </w:r>
    </w:p>
    <w:p w:rsidR="002A4636" w:rsidRPr="002A4636" w:rsidRDefault="002A4636" w:rsidP="002A4636">
      <w:pPr>
        <w:jc w:val="both"/>
        <w:rPr>
          <w:rFonts w:ascii="Arial" w:hAnsi="Arial" w:cs="Arial"/>
          <w:bCs/>
          <w:sz w:val="24"/>
        </w:rPr>
      </w:pPr>
      <w:r w:rsidRPr="002A4636">
        <w:rPr>
          <w:rFonts w:ascii="Arial" w:hAnsi="Arial" w:cs="Arial"/>
          <w:bCs/>
          <w:sz w:val="24"/>
        </w:rPr>
        <w:t xml:space="preserve">Durante el siglo XIX se realizan otros importantes avances. En 1864 </w:t>
      </w:r>
      <w:proofErr w:type="spellStart"/>
      <w:r w:rsidRPr="002A4636">
        <w:rPr>
          <w:rFonts w:ascii="Arial" w:hAnsi="Arial" w:cs="Arial"/>
          <w:bCs/>
          <w:sz w:val="24"/>
        </w:rPr>
        <w:t>Wilkis</w:t>
      </w:r>
      <w:proofErr w:type="spellEnd"/>
      <w:r w:rsidRPr="002A4636">
        <w:rPr>
          <w:rFonts w:ascii="Arial" w:hAnsi="Arial" w:cs="Arial"/>
          <w:bCs/>
          <w:sz w:val="24"/>
        </w:rPr>
        <w:t xml:space="preserve"> describe la atrofia cerebral como parte de múltiples cuadros clínicos, incluida la demencia senil; además </w:t>
      </w:r>
      <w:proofErr w:type="spellStart"/>
      <w:r w:rsidRPr="002A4636">
        <w:rPr>
          <w:rFonts w:ascii="Arial" w:hAnsi="Arial" w:cs="Arial"/>
          <w:bCs/>
          <w:sz w:val="24"/>
        </w:rPr>
        <w:t>Binswagner</w:t>
      </w:r>
      <w:proofErr w:type="spellEnd"/>
      <w:r w:rsidRPr="002A4636">
        <w:rPr>
          <w:rFonts w:ascii="Arial" w:hAnsi="Arial" w:cs="Arial"/>
          <w:bCs/>
          <w:sz w:val="24"/>
        </w:rPr>
        <w:t xml:space="preserve"> describió junto con Alzheimer la importancia de las alteraciones vasculares cerebrales dentro de la pres</w:t>
      </w:r>
      <w:r w:rsidR="00EB0109">
        <w:rPr>
          <w:rFonts w:ascii="Arial" w:hAnsi="Arial" w:cs="Arial"/>
          <w:bCs/>
          <w:sz w:val="24"/>
        </w:rPr>
        <w:t>entación clínica de la demencia.</w:t>
      </w:r>
    </w:p>
    <w:p w:rsidR="002A4636" w:rsidRPr="002A4636" w:rsidRDefault="002A4636" w:rsidP="002A4636">
      <w:pPr>
        <w:jc w:val="both"/>
        <w:rPr>
          <w:rFonts w:ascii="Arial" w:hAnsi="Arial" w:cs="Arial"/>
          <w:bCs/>
          <w:sz w:val="24"/>
        </w:rPr>
      </w:pPr>
      <w:r w:rsidRPr="002A4636">
        <w:rPr>
          <w:rFonts w:ascii="Arial" w:hAnsi="Arial" w:cs="Arial"/>
          <w:bCs/>
          <w:sz w:val="24"/>
        </w:rPr>
        <w:t xml:space="preserve">No obstante lo anterior, no es hasta inicios del siglo XX que </w:t>
      </w:r>
      <w:proofErr w:type="spellStart"/>
      <w:r w:rsidRPr="002A4636">
        <w:rPr>
          <w:rFonts w:ascii="Arial" w:hAnsi="Arial" w:cs="Arial"/>
          <w:bCs/>
          <w:sz w:val="24"/>
        </w:rPr>
        <w:t>Alois</w:t>
      </w:r>
      <w:proofErr w:type="spellEnd"/>
      <w:r w:rsidRPr="002A4636">
        <w:rPr>
          <w:rFonts w:ascii="Arial" w:hAnsi="Arial" w:cs="Arial"/>
          <w:bCs/>
          <w:sz w:val="24"/>
        </w:rPr>
        <w:t xml:space="preserve"> Alzheimer, en 1906, describe por vez primera las lesiones neuropatológicas asociadas con un tipo particular de demencia senil. Este hecho estableció un nuevo concepto etiológico de gran importancia en este campo, que es lo que actualmente se conoce como demencia por enfermedad de Alzheimer.  </w:t>
      </w:r>
    </w:p>
    <w:p w:rsidR="002A4636" w:rsidRPr="002A4636" w:rsidRDefault="002A4636" w:rsidP="002A4636">
      <w:pPr>
        <w:jc w:val="both"/>
        <w:rPr>
          <w:rFonts w:ascii="Arial" w:hAnsi="Arial" w:cs="Arial"/>
          <w:bCs/>
          <w:sz w:val="24"/>
        </w:rPr>
      </w:pPr>
      <w:r w:rsidRPr="002A4636">
        <w:rPr>
          <w:rFonts w:ascii="Arial" w:hAnsi="Arial" w:cs="Arial"/>
          <w:bCs/>
          <w:sz w:val="24"/>
        </w:rPr>
        <w:t xml:space="preserve">El tema de la demencia retoma fuerza al publicarse la primera edición del Manual diagnóstico y estadístico de las enfermedades mentales en 1952 (DSM, por sus siglas en inglés). En este sentido, la American </w:t>
      </w:r>
      <w:proofErr w:type="spellStart"/>
      <w:r w:rsidRPr="002A4636">
        <w:rPr>
          <w:rFonts w:ascii="Arial" w:hAnsi="Arial" w:cs="Arial"/>
          <w:bCs/>
          <w:sz w:val="24"/>
        </w:rPr>
        <w:t>Psychiatric</w:t>
      </w:r>
      <w:proofErr w:type="spellEnd"/>
      <w:r w:rsidRPr="002A4636">
        <w:rPr>
          <w:rFonts w:ascii="Arial" w:hAnsi="Arial" w:cs="Arial"/>
          <w:bCs/>
          <w:sz w:val="24"/>
        </w:rPr>
        <w:t xml:space="preserve"> </w:t>
      </w:r>
      <w:proofErr w:type="spellStart"/>
      <w:r w:rsidRPr="002A4636">
        <w:rPr>
          <w:rFonts w:ascii="Arial" w:hAnsi="Arial" w:cs="Arial"/>
          <w:bCs/>
          <w:sz w:val="24"/>
        </w:rPr>
        <w:t>Association</w:t>
      </w:r>
      <w:proofErr w:type="spellEnd"/>
      <w:r w:rsidRPr="002A4636">
        <w:rPr>
          <w:rFonts w:ascii="Arial" w:hAnsi="Arial" w:cs="Arial"/>
          <w:bCs/>
          <w:sz w:val="24"/>
        </w:rPr>
        <w:t xml:space="preserve"> (APA) decidió crear un sistema de clasificación que fuera aceptable para todos sus miembros, en un esfuerzo por recopilar y establecer un compendio válido de los términos a utilizar en el campo de la Psiquiatría. Esto trae consigo la publicación de lo que se conoce como el DSM-I.  </w:t>
      </w:r>
    </w:p>
    <w:p w:rsidR="002A4636" w:rsidRPr="002A4636" w:rsidRDefault="002A4636" w:rsidP="002A4636">
      <w:pPr>
        <w:jc w:val="both"/>
        <w:rPr>
          <w:rFonts w:ascii="Arial" w:hAnsi="Arial" w:cs="Arial"/>
          <w:bCs/>
          <w:sz w:val="24"/>
        </w:rPr>
      </w:pPr>
      <w:r w:rsidRPr="002A4636">
        <w:rPr>
          <w:rFonts w:ascii="Arial" w:hAnsi="Arial" w:cs="Arial"/>
          <w:bCs/>
          <w:sz w:val="24"/>
        </w:rPr>
        <w:t>En años subsiguientes continúan generándose actualizaciones de dicho manual. Del DSM-II al DSM-III hay importantes cambios, no sólo sobre la conceptualización de la enfermedad mental en general, sino también en el campo de la conceptualización de las demen</w:t>
      </w:r>
      <w:r w:rsidR="00EB0109">
        <w:rPr>
          <w:rFonts w:ascii="Arial" w:hAnsi="Arial" w:cs="Arial"/>
          <w:bCs/>
          <w:sz w:val="24"/>
        </w:rPr>
        <w:t>cias en específico.</w:t>
      </w:r>
    </w:p>
    <w:p w:rsidR="002A4636" w:rsidRPr="002A4636" w:rsidRDefault="002A4636" w:rsidP="002A4636">
      <w:pPr>
        <w:jc w:val="both"/>
        <w:rPr>
          <w:rFonts w:ascii="Arial" w:hAnsi="Arial" w:cs="Arial"/>
          <w:bCs/>
          <w:sz w:val="24"/>
        </w:rPr>
      </w:pPr>
      <w:r w:rsidRPr="002A4636">
        <w:rPr>
          <w:rFonts w:ascii="Arial" w:hAnsi="Arial" w:cs="Arial"/>
          <w:bCs/>
          <w:sz w:val="24"/>
        </w:rPr>
        <w:t xml:space="preserve">En los años 1994 y 2000 son publicados el DSM IV y el DSM IV-TR,  respectivamente. Ambas versiones implicaron un avance significativo para el concepto de demencia, ya que se realizó una definición operativa del término, se incluyeron como criterios necesarios para el diagnóstico las alteraciones mnésicas, alteraciones en la funcionalidad y se reconoce su causalidad múltiple. Consecutivamente en el DSM-IV TR se propusieron criterios específicos para las distintas etiologías que producen demencia.   </w:t>
      </w:r>
    </w:p>
    <w:p w:rsidR="002A4636" w:rsidRPr="002A4636" w:rsidRDefault="002A4636" w:rsidP="002A4636">
      <w:pPr>
        <w:jc w:val="both"/>
        <w:rPr>
          <w:rFonts w:ascii="Arial" w:hAnsi="Arial" w:cs="Arial"/>
          <w:bCs/>
          <w:sz w:val="24"/>
        </w:rPr>
      </w:pPr>
      <w:r w:rsidRPr="002A4636">
        <w:rPr>
          <w:rFonts w:ascii="Arial" w:hAnsi="Arial" w:cs="Arial"/>
          <w:bCs/>
          <w:sz w:val="24"/>
        </w:rPr>
        <w:lastRenderedPageBreak/>
        <w:t xml:space="preserve">En el año 2013 es publicado el DSM-V </w:t>
      </w:r>
      <w:r w:rsidRPr="00EB0109">
        <w:rPr>
          <w:rFonts w:ascii="Arial" w:hAnsi="Arial" w:cs="Arial"/>
          <w:bCs/>
          <w:sz w:val="24"/>
          <w:vertAlign w:val="superscript"/>
        </w:rPr>
        <w:t>(</w:t>
      </w:r>
      <w:r w:rsidR="00EB0109">
        <w:rPr>
          <w:rFonts w:ascii="Arial" w:hAnsi="Arial" w:cs="Arial"/>
          <w:bCs/>
          <w:sz w:val="24"/>
          <w:vertAlign w:val="superscript"/>
        </w:rPr>
        <w:t>26</w:t>
      </w:r>
      <w:r w:rsidRPr="00EB0109">
        <w:rPr>
          <w:rFonts w:ascii="Arial" w:hAnsi="Arial" w:cs="Arial"/>
          <w:bCs/>
          <w:sz w:val="24"/>
          <w:vertAlign w:val="superscript"/>
        </w:rPr>
        <w:t>)</w:t>
      </w:r>
      <w:r w:rsidR="00EB0109">
        <w:rPr>
          <w:rFonts w:ascii="Arial" w:hAnsi="Arial" w:cs="Arial"/>
          <w:bCs/>
          <w:sz w:val="24"/>
        </w:rPr>
        <w:t>.</w:t>
      </w:r>
      <w:r w:rsidRPr="002A4636">
        <w:rPr>
          <w:rFonts w:ascii="Arial" w:hAnsi="Arial" w:cs="Arial"/>
          <w:bCs/>
          <w:sz w:val="24"/>
        </w:rPr>
        <w:t xml:space="preserve"> Uno de los principales motivos por el cual se hizo esta nueva edición del DSM, con todos los cambios que implica, fue el de incrementar la coherencia entre el CIE-11 y el DSM, y así hacer del DSM un documento con relevancia internacional.  Esta versión actual del DSM-V incluye dos nuevos términos que reemplazan el término de demencia utilizado en el DSM-III y el DSM-IV que son: trastorno neurocognitivo mayor (TNC-M), que sería el equivalente a lo que se conoce como demencia; y el trastorno neurocognitivo menor (TNC-ME), o también conocido como deterioro cognitivo leve (DCL). La inclusión del término DCL permite un diagnóstico </w:t>
      </w:r>
      <w:proofErr w:type="spellStart"/>
      <w:r w:rsidRPr="002A4636">
        <w:rPr>
          <w:rFonts w:ascii="Arial" w:hAnsi="Arial" w:cs="Arial"/>
          <w:bCs/>
          <w:sz w:val="24"/>
        </w:rPr>
        <w:t>predemencial</w:t>
      </w:r>
      <w:proofErr w:type="spellEnd"/>
      <w:r w:rsidRPr="002A4636">
        <w:rPr>
          <w:rFonts w:ascii="Arial" w:hAnsi="Arial" w:cs="Arial"/>
          <w:bCs/>
          <w:sz w:val="24"/>
        </w:rPr>
        <w:t xml:space="preserve"> especificando los dominios cognitivos afectados.   </w:t>
      </w:r>
    </w:p>
    <w:p w:rsidR="002A4636" w:rsidRPr="002A4636" w:rsidRDefault="002A4636" w:rsidP="002A4636">
      <w:pPr>
        <w:jc w:val="both"/>
        <w:rPr>
          <w:rFonts w:ascii="Arial" w:hAnsi="Arial" w:cs="Arial"/>
          <w:bCs/>
          <w:sz w:val="24"/>
        </w:rPr>
      </w:pPr>
      <w:r w:rsidRPr="002A4636">
        <w:rPr>
          <w:rFonts w:ascii="Arial" w:hAnsi="Arial" w:cs="Arial"/>
          <w:bCs/>
          <w:sz w:val="24"/>
        </w:rPr>
        <w:t xml:space="preserve">En 2011, el International </w:t>
      </w:r>
      <w:proofErr w:type="spellStart"/>
      <w:r w:rsidRPr="002A4636">
        <w:rPr>
          <w:rFonts w:ascii="Arial" w:hAnsi="Arial" w:cs="Arial"/>
          <w:bCs/>
          <w:sz w:val="24"/>
        </w:rPr>
        <w:t>Working</w:t>
      </w:r>
      <w:proofErr w:type="spellEnd"/>
      <w:r w:rsidRPr="002A4636">
        <w:rPr>
          <w:rFonts w:ascii="Arial" w:hAnsi="Arial" w:cs="Arial"/>
          <w:bCs/>
          <w:sz w:val="24"/>
        </w:rPr>
        <w:t xml:space="preserve"> </w:t>
      </w:r>
      <w:proofErr w:type="spellStart"/>
      <w:r w:rsidRPr="002A4636">
        <w:rPr>
          <w:rFonts w:ascii="Arial" w:hAnsi="Arial" w:cs="Arial"/>
          <w:bCs/>
          <w:sz w:val="24"/>
        </w:rPr>
        <w:t>Group</w:t>
      </w:r>
      <w:proofErr w:type="spellEnd"/>
      <w:r w:rsidRPr="002A4636">
        <w:rPr>
          <w:rFonts w:ascii="Arial" w:hAnsi="Arial" w:cs="Arial"/>
          <w:bCs/>
          <w:sz w:val="24"/>
        </w:rPr>
        <w:t xml:space="preserve"> (IWG) y el US </w:t>
      </w:r>
      <w:proofErr w:type="spellStart"/>
      <w:r w:rsidRPr="002A4636">
        <w:rPr>
          <w:rFonts w:ascii="Arial" w:hAnsi="Arial" w:cs="Arial"/>
          <w:bCs/>
          <w:sz w:val="24"/>
        </w:rPr>
        <w:t>National</w:t>
      </w:r>
      <w:proofErr w:type="spellEnd"/>
      <w:r w:rsidRPr="002A4636">
        <w:rPr>
          <w:rFonts w:ascii="Arial" w:hAnsi="Arial" w:cs="Arial"/>
          <w:bCs/>
          <w:sz w:val="24"/>
        </w:rPr>
        <w:t xml:space="preserve"> </w:t>
      </w:r>
      <w:proofErr w:type="spellStart"/>
      <w:r w:rsidRPr="002A4636">
        <w:rPr>
          <w:rFonts w:ascii="Arial" w:hAnsi="Arial" w:cs="Arial"/>
          <w:bCs/>
          <w:sz w:val="24"/>
        </w:rPr>
        <w:t>Institute</w:t>
      </w:r>
      <w:proofErr w:type="spellEnd"/>
      <w:r w:rsidRPr="002A4636">
        <w:rPr>
          <w:rFonts w:ascii="Arial" w:hAnsi="Arial" w:cs="Arial"/>
          <w:bCs/>
          <w:sz w:val="24"/>
        </w:rPr>
        <w:t xml:space="preserve"> </w:t>
      </w:r>
      <w:proofErr w:type="spellStart"/>
      <w:r w:rsidRPr="002A4636">
        <w:rPr>
          <w:rFonts w:ascii="Arial" w:hAnsi="Arial" w:cs="Arial"/>
          <w:bCs/>
          <w:sz w:val="24"/>
        </w:rPr>
        <w:t>on</w:t>
      </w:r>
      <w:proofErr w:type="spellEnd"/>
      <w:r w:rsidRPr="002A4636">
        <w:rPr>
          <w:rFonts w:ascii="Arial" w:hAnsi="Arial" w:cs="Arial"/>
          <w:bCs/>
          <w:sz w:val="24"/>
        </w:rPr>
        <w:t xml:space="preserve"> </w:t>
      </w:r>
      <w:proofErr w:type="spellStart"/>
      <w:r w:rsidRPr="002A4636">
        <w:rPr>
          <w:rFonts w:ascii="Arial" w:hAnsi="Arial" w:cs="Arial"/>
          <w:bCs/>
          <w:sz w:val="24"/>
        </w:rPr>
        <w:t>Aging-Alzheimer’s</w:t>
      </w:r>
      <w:proofErr w:type="spellEnd"/>
      <w:r w:rsidRPr="002A4636">
        <w:rPr>
          <w:rFonts w:ascii="Arial" w:hAnsi="Arial" w:cs="Arial"/>
          <w:bCs/>
          <w:sz w:val="24"/>
        </w:rPr>
        <w:t xml:space="preserve"> </w:t>
      </w:r>
      <w:proofErr w:type="spellStart"/>
      <w:r w:rsidRPr="002A4636">
        <w:rPr>
          <w:rFonts w:ascii="Arial" w:hAnsi="Arial" w:cs="Arial"/>
          <w:bCs/>
          <w:sz w:val="24"/>
        </w:rPr>
        <w:t>Association</w:t>
      </w:r>
      <w:proofErr w:type="spellEnd"/>
      <w:r w:rsidRPr="002A4636">
        <w:rPr>
          <w:rFonts w:ascii="Arial" w:hAnsi="Arial" w:cs="Arial"/>
          <w:bCs/>
          <w:sz w:val="24"/>
        </w:rPr>
        <w:t xml:space="preserve"> (NIA-AA) realizaron ajustes a las clasificaciones, y en el año 2017 se propusieron los segundos criterios IWG-2, actualmente vigentes, los cuales clasifican a la enfermedad de Alzheimer en típica, atípica, mixta y los estadios preclínicos </w:t>
      </w:r>
      <w:r w:rsidR="00EB0109">
        <w:rPr>
          <w:rFonts w:ascii="Arial" w:hAnsi="Arial" w:cs="Arial"/>
          <w:bCs/>
          <w:sz w:val="24"/>
          <w:vertAlign w:val="superscript"/>
        </w:rPr>
        <w:t>(27</w:t>
      </w:r>
      <w:r w:rsidRPr="00EB0109">
        <w:rPr>
          <w:rFonts w:ascii="Arial" w:hAnsi="Arial" w:cs="Arial"/>
          <w:bCs/>
          <w:sz w:val="24"/>
          <w:vertAlign w:val="superscript"/>
        </w:rPr>
        <w:t>)</w:t>
      </w:r>
      <w:r w:rsidRPr="002A4636">
        <w:rPr>
          <w:rFonts w:ascii="Arial" w:hAnsi="Arial" w:cs="Arial"/>
          <w:bCs/>
          <w:sz w:val="24"/>
        </w:rPr>
        <w:t xml:space="preserve">.  </w:t>
      </w:r>
    </w:p>
    <w:p w:rsidR="002A4636" w:rsidRPr="002A4636" w:rsidRDefault="002A4636" w:rsidP="002A4636">
      <w:pPr>
        <w:jc w:val="both"/>
        <w:rPr>
          <w:rFonts w:ascii="Arial" w:hAnsi="Arial" w:cs="Arial"/>
          <w:bCs/>
          <w:sz w:val="24"/>
        </w:rPr>
      </w:pPr>
      <w:r w:rsidRPr="002A4636">
        <w:rPr>
          <w:rFonts w:ascii="Arial" w:hAnsi="Arial" w:cs="Arial"/>
          <w:bCs/>
          <w:sz w:val="24"/>
        </w:rPr>
        <w:t xml:space="preserve">Respecto a su prevalencia existen diferencias importantes en algunos estudios, situación que se puede explicar por la aplicación de metodologías diversas, criterios diagnósticos distintos o por auténticas diferencias geográficas o poblacionales en cuanto a exposición a factores de riesgo o predisposición a la enfermedad </w:t>
      </w:r>
      <w:r w:rsidR="00AC20C0">
        <w:rPr>
          <w:rFonts w:ascii="Arial" w:hAnsi="Arial" w:cs="Arial"/>
          <w:bCs/>
          <w:sz w:val="24"/>
          <w:vertAlign w:val="superscript"/>
        </w:rPr>
        <w:t>(27</w:t>
      </w:r>
      <w:r w:rsidRPr="00AC20C0">
        <w:rPr>
          <w:rFonts w:ascii="Arial" w:hAnsi="Arial" w:cs="Arial"/>
          <w:bCs/>
          <w:sz w:val="24"/>
          <w:vertAlign w:val="superscript"/>
        </w:rPr>
        <w:t>)</w:t>
      </w:r>
      <w:r w:rsidRPr="002A4636">
        <w:rPr>
          <w:rFonts w:ascii="Arial" w:hAnsi="Arial" w:cs="Arial"/>
          <w:bCs/>
          <w:sz w:val="24"/>
        </w:rPr>
        <w:t>. Sin embargo, algo que se repite a lo largo de todos los estudios es la dependencia de la edad y la duplicación consistente de la prevalencia cada 5 años después de los 65 años.</w:t>
      </w:r>
    </w:p>
    <w:p w:rsidR="002A4636" w:rsidRPr="002A4636" w:rsidRDefault="002A4636" w:rsidP="002A4636">
      <w:pPr>
        <w:jc w:val="both"/>
        <w:rPr>
          <w:rFonts w:ascii="Arial" w:hAnsi="Arial" w:cs="Arial"/>
          <w:bCs/>
          <w:sz w:val="24"/>
        </w:rPr>
      </w:pPr>
      <w:r w:rsidRPr="002A4636">
        <w:rPr>
          <w:rFonts w:ascii="Arial" w:hAnsi="Arial" w:cs="Arial"/>
          <w:bCs/>
          <w:sz w:val="24"/>
        </w:rPr>
        <w:t xml:space="preserve">La segunda causa de demencia la constituye el deterioro cognitivo de perfil vascular representa, que representa más del 20% del total. La prevalencia de demencia vascular, de forma similar a como ocurre en la enfermedad de Alzheimer, aumenta exponencialmente con la edad y el riesgo se duplica cada 5,3 años </w:t>
      </w:r>
      <w:r w:rsidR="00AC20C0">
        <w:rPr>
          <w:rFonts w:ascii="Arial" w:hAnsi="Arial" w:cs="Arial"/>
          <w:bCs/>
          <w:sz w:val="24"/>
          <w:vertAlign w:val="superscript"/>
        </w:rPr>
        <w:t>(28</w:t>
      </w:r>
      <w:r w:rsidRPr="00AC20C0">
        <w:rPr>
          <w:rFonts w:ascii="Arial" w:hAnsi="Arial" w:cs="Arial"/>
          <w:bCs/>
          <w:sz w:val="24"/>
          <w:vertAlign w:val="superscript"/>
        </w:rPr>
        <w:t>)</w:t>
      </w:r>
      <w:r w:rsidRPr="002A4636">
        <w:rPr>
          <w:rFonts w:ascii="Arial" w:hAnsi="Arial" w:cs="Arial"/>
          <w:bCs/>
          <w:sz w:val="24"/>
        </w:rPr>
        <w:t>.</w:t>
      </w:r>
    </w:p>
    <w:p w:rsidR="002A4636" w:rsidRPr="002A4636" w:rsidRDefault="002A4636" w:rsidP="002A4636">
      <w:pPr>
        <w:jc w:val="both"/>
        <w:rPr>
          <w:rFonts w:ascii="Arial" w:hAnsi="Arial" w:cs="Arial"/>
          <w:bCs/>
          <w:sz w:val="24"/>
        </w:rPr>
      </w:pPr>
      <w:r w:rsidRPr="002A4636">
        <w:rPr>
          <w:rFonts w:ascii="Arial" w:hAnsi="Arial" w:cs="Arial"/>
          <w:bCs/>
          <w:sz w:val="24"/>
        </w:rPr>
        <w:t xml:space="preserve">El deterioro cognitivo vascular es un concepto amplio que cubre un extenso espectro que incluye desde el deterioro cognitivo leve hasta la demencia vascular, así como patologías de carácter mixto que en algunos estudios llegan a representar hasta el 15% de los casos. Estas formas de demencia también tienen un largo período </w:t>
      </w:r>
      <w:proofErr w:type="spellStart"/>
      <w:r w:rsidRPr="002A4636">
        <w:rPr>
          <w:rFonts w:ascii="Arial" w:hAnsi="Arial" w:cs="Arial"/>
          <w:bCs/>
          <w:sz w:val="24"/>
        </w:rPr>
        <w:t>presintomático</w:t>
      </w:r>
      <w:proofErr w:type="spellEnd"/>
      <w:r w:rsidRPr="002A4636">
        <w:rPr>
          <w:rFonts w:ascii="Arial" w:hAnsi="Arial" w:cs="Arial"/>
          <w:bCs/>
          <w:sz w:val="24"/>
        </w:rPr>
        <w:t xml:space="preserve"> en el que se observan cambios moleculares, pero con un funcionamiento cognitivo dentro de la normalidad; esta fase puede llegar a durar entre 10 y 25 años </w:t>
      </w:r>
      <w:r w:rsidR="00AC20C0">
        <w:rPr>
          <w:rFonts w:ascii="Arial" w:hAnsi="Arial" w:cs="Arial"/>
          <w:bCs/>
          <w:sz w:val="24"/>
          <w:vertAlign w:val="superscript"/>
        </w:rPr>
        <w:t>(29</w:t>
      </w:r>
      <w:r w:rsidRPr="00AC20C0">
        <w:rPr>
          <w:rFonts w:ascii="Arial" w:hAnsi="Arial" w:cs="Arial"/>
          <w:bCs/>
          <w:sz w:val="24"/>
          <w:vertAlign w:val="superscript"/>
        </w:rPr>
        <w:t>)</w:t>
      </w:r>
      <w:r w:rsidRPr="002A4636">
        <w:rPr>
          <w:rFonts w:ascii="Arial" w:hAnsi="Arial" w:cs="Arial"/>
          <w:bCs/>
          <w:sz w:val="24"/>
        </w:rPr>
        <w:t xml:space="preserve">. El grado de conversión a demencia, institucionalización y mortalidad está incrementado de forma significativa en estos pacientes, que constituyen una población diana para la puesta en marcha de políticas de prevención. </w:t>
      </w:r>
    </w:p>
    <w:p w:rsidR="002A4636" w:rsidRPr="002A4636" w:rsidRDefault="002A4636" w:rsidP="002A4636">
      <w:pPr>
        <w:jc w:val="both"/>
        <w:rPr>
          <w:rFonts w:ascii="Arial" w:hAnsi="Arial" w:cs="Arial"/>
          <w:bCs/>
          <w:sz w:val="24"/>
        </w:rPr>
      </w:pPr>
      <w:r w:rsidRPr="002A4636">
        <w:rPr>
          <w:rFonts w:ascii="Arial" w:hAnsi="Arial" w:cs="Arial"/>
          <w:bCs/>
          <w:sz w:val="24"/>
        </w:rPr>
        <w:t xml:space="preserve">Los estudios </w:t>
      </w:r>
      <w:proofErr w:type="spellStart"/>
      <w:r w:rsidRPr="002A4636">
        <w:rPr>
          <w:rFonts w:ascii="Arial" w:hAnsi="Arial" w:cs="Arial"/>
          <w:bCs/>
          <w:sz w:val="24"/>
        </w:rPr>
        <w:t>anatomopatológicos</w:t>
      </w:r>
      <w:proofErr w:type="spellEnd"/>
      <w:r w:rsidRPr="002A4636">
        <w:rPr>
          <w:rFonts w:ascii="Arial" w:hAnsi="Arial" w:cs="Arial"/>
          <w:bCs/>
          <w:sz w:val="24"/>
        </w:rPr>
        <w:t xml:space="preserve"> y, sobre todo, los de </w:t>
      </w:r>
      <w:proofErr w:type="spellStart"/>
      <w:r w:rsidRPr="002A4636">
        <w:rPr>
          <w:rFonts w:ascii="Arial" w:hAnsi="Arial" w:cs="Arial"/>
          <w:bCs/>
          <w:sz w:val="24"/>
        </w:rPr>
        <w:t>neuroimagen</w:t>
      </w:r>
      <w:proofErr w:type="spellEnd"/>
      <w:r w:rsidRPr="002A4636">
        <w:rPr>
          <w:rFonts w:ascii="Arial" w:hAnsi="Arial" w:cs="Arial"/>
          <w:bCs/>
          <w:sz w:val="24"/>
        </w:rPr>
        <w:t xml:space="preserve"> han identificado diversos tipos de lesiones vasculares y parenquimatosas asociadas a deterioro cognitivo. Entre ellos se incluyen: infartos múltiples, demencia </w:t>
      </w:r>
      <w:proofErr w:type="spellStart"/>
      <w:r w:rsidRPr="002A4636">
        <w:rPr>
          <w:rFonts w:ascii="Arial" w:hAnsi="Arial" w:cs="Arial"/>
          <w:bCs/>
          <w:sz w:val="24"/>
        </w:rPr>
        <w:t>multiinfarto</w:t>
      </w:r>
      <w:proofErr w:type="spellEnd"/>
      <w:r w:rsidRPr="002A4636">
        <w:rPr>
          <w:rFonts w:ascii="Arial" w:hAnsi="Arial" w:cs="Arial"/>
          <w:bCs/>
          <w:sz w:val="24"/>
        </w:rPr>
        <w:t xml:space="preserve">, infarto en área estratégica, hemorragia cerebral, hipoperfusión </w:t>
      </w:r>
      <w:r w:rsidRPr="002A4636">
        <w:rPr>
          <w:rFonts w:ascii="Arial" w:hAnsi="Arial" w:cs="Arial"/>
          <w:bCs/>
          <w:sz w:val="24"/>
        </w:rPr>
        <w:lastRenderedPageBreak/>
        <w:t xml:space="preserve">global y la forma mixta </w:t>
      </w:r>
      <w:r w:rsidRPr="00AC20C0">
        <w:rPr>
          <w:rFonts w:ascii="Arial" w:hAnsi="Arial" w:cs="Arial"/>
          <w:bCs/>
          <w:sz w:val="24"/>
          <w:vertAlign w:val="superscript"/>
        </w:rPr>
        <w:t>(</w:t>
      </w:r>
      <w:r w:rsidR="00AC20C0">
        <w:rPr>
          <w:rFonts w:ascii="Arial" w:hAnsi="Arial" w:cs="Arial"/>
          <w:bCs/>
          <w:sz w:val="24"/>
          <w:vertAlign w:val="superscript"/>
        </w:rPr>
        <w:t>29</w:t>
      </w:r>
      <w:r w:rsidRPr="00AC20C0">
        <w:rPr>
          <w:rFonts w:ascii="Arial" w:hAnsi="Arial" w:cs="Arial"/>
          <w:bCs/>
          <w:sz w:val="24"/>
          <w:vertAlign w:val="superscript"/>
        </w:rPr>
        <w:t>,</w:t>
      </w:r>
      <w:r w:rsidR="00AC20C0">
        <w:rPr>
          <w:rFonts w:ascii="Arial" w:hAnsi="Arial" w:cs="Arial"/>
          <w:bCs/>
          <w:sz w:val="24"/>
          <w:vertAlign w:val="superscript"/>
        </w:rPr>
        <w:t>30</w:t>
      </w:r>
      <w:r w:rsidRPr="00AC20C0">
        <w:rPr>
          <w:rFonts w:ascii="Arial" w:hAnsi="Arial" w:cs="Arial"/>
          <w:bCs/>
          <w:sz w:val="24"/>
          <w:vertAlign w:val="superscript"/>
        </w:rPr>
        <w:t>)</w:t>
      </w:r>
      <w:r w:rsidRPr="002A4636">
        <w:rPr>
          <w:rFonts w:ascii="Arial" w:hAnsi="Arial" w:cs="Arial"/>
          <w:bCs/>
          <w:sz w:val="24"/>
        </w:rPr>
        <w:t>, ya que las patologías de tipo Alzheimer incrementan el riesgo de demencia después de un ictus y contribuyen al declinar cognitivo en pacientes con deterioro cognitivo leve vascular. No obstante, la relación entre las dos entidades parece más compleja; datos recientes indican que lesiones de vasos grandes y pequeños se asocian con demencia de tipo Alzheimer de forma independiente a la existencia de infartos.</w:t>
      </w:r>
    </w:p>
    <w:p w:rsidR="002A4636" w:rsidRPr="002A4636" w:rsidRDefault="002A4636" w:rsidP="002A4636">
      <w:pPr>
        <w:jc w:val="both"/>
        <w:rPr>
          <w:rFonts w:ascii="Arial" w:hAnsi="Arial" w:cs="Arial"/>
          <w:bCs/>
          <w:sz w:val="24"/>
        </w:rPr>
      </w:pPr>
      <w:r w:rsidRPr="002A4636">
        <w:rPr>
          <w:rFonts w:ascii="Arial" w:hAnsi="Arial" w:cs="Arial"/>
          <w:bCs/>
          <w:sz w:val="24"/>
        </w:rPr>
        <w:t xml:space="preserve">En la actualidad, los criterios más ampliamente utilizados son los de la AHA/ASA </w:t>
      </w:r>
      <w:r w:rsidR="00AC20C0">
        <w:rPr>
          <w:rFonts w:ascii="Arial" w:hAnsi="Arial" w:cs="Arial"/>
          <w:bCs/>
          <w:sz w:val="24"/>
          <w:vertAlign w:val="superscript"/>
        </w:rPr>
        <w:t>(</w:t>
      </w:r>
      <w:r w:rsidRPr="00AC20C0">
        <w:rPr>
          <w:rFonts w:ascii="Arial" w:hAnsi="Arial" w:cs="Arial"/>
          <w:bCs/>
          <w:sz w:val="24"/>
          <w:vertAlign w:val="superscript"/>
        </w:rPr>
        <w:t>3</w:t>
      </w:r>
      <w:r w:rsidR="00AC20C0">
        <w:rPr>
          <w:rFonts w:ascii="Arial" w:hAnsi="Arial" w:cs="Arial"/>
          <w:bCs/>
          <w:sz w:val="24"/>
          <w:vertAlign w:val="superscript"/>
        </w:rPr>
        <w:t>1</w:t>
      </w:r>
      <w:r w:rsidRPr="00AC20C0">
        <w:rPr>
          <w:rFonts w:ascii="Arial" w:hAnsi="Arial" w:cs="Arial"/>
          <w:bCs/>
          <w:sz w:val="24"/>
          <w:vertAlign w:val="superscript"/>
        </w:rPr>
        <w:t>)</w:t>
      </w:r>
      <w:r w:rsidRPr="002A4636">
        <w:rPr>
          <w:rFonts w:ascii="Arial" w:hAnsi="Arial" w:cs="Arial"/>
          <w:bCs/>
          <w:sz w:val="24"/>
        </w:rPr>
        <w:t xml:space="preserve"> (American </w:t>
      </w:r>
      <w:proofErr w:type="spellStart"/>
      <w:r w:rsidRPr="002A4636">
        <w:rPr>
          <w:rFonts w:ascii="Arial" w:hAnsi="Arial" w:cs="Arial"/>
          <w:bCs/>
          <w:sz w:val="24"/>
        </w:rPr>
        <w:t>Heart</w:t>
      </w:r>
      <w:proofErr w:type="spellEnd"/>
      <w:r w:rsidRPr="002A4636">
        <w:rPr>
          <w:rFonts w:ascii="Arial" w:hAnsi="Arial" w:cs="Arial"/>
          <w:bCs/>
          <w:sz w:val="24"/>
        </w:rPr>
        <w:t xml:space="preserve"> </w:t>
      </w:r>
      <w:proofErr w:type="spellStart"/>
      <w:r w:rsidRPr="002A4636">
        <w:rPr>
          <w:rFonts w:ascii="Arial" w:hAnsi="Arial" w:cs="Arial"/>
          <w:bCs/>
          <w:sz w:val="24"/>
        </w:rPr>
        <w:t>Association</w:t>
      </w:r>
      <w:proofErr w:type="spellEnd"/>
      <w:r w:rsidRPr="002A4636">
        <w:rPr>
          <w:rFonts w:ascii="Arial" w:hAnsi="Arial" w:cs="Arial"/>
          <w:bCs/>
          <w:sz w:val="24"/>
        </w:rPr>
        <w:t xml:space="preserve">/American </w:t>
      </w:r>
      <w:proofErr w:type="spellStart"/>
      <w:r w:rsidRPr="002A4636">
        <w:rPr>
          <w:rFonts w:ascii="Arial" w:hAnsi="Arial" w:cs="Arial"/>
          <w:bCs/>
          <w:sz w:val="24"/>
        </w:rPr>
        <w:t>Stroke</w:t>
      </w:r>
      <w:proofErr w:type="spellEnd"/>
      <w:r w:rsidRPr="002A4636">
        <w:rPr>
          <w:rFonts w:ascii="Arial" w:hAnsi="Arial" w:cs="Arial"/>
          <w:bCs/>
          <w:sz w:val="24"/>
        </w:rPr>
        <w:t xml:space="preserve">) y los de la VAS-COG (International </w:t>
      </w:r>
      <w:proofErr w:type="spellStart"/>
      <w:r w:rsidRPr="002A4636">
        <w:rPr>
          <w:rFonts w:ascii="Arial" w:hAnsi="Arial" w:cs="Arial"/>
          <w:bCs/>
          <w:sz w:val="24"/>
        </w:rPr>
        <w:t>Society</w:t>
      </w:r>
      <w:proofErr w:type="spellEnd"/>
      <w:r w:rsidRPr="002A4636">
        <w:rPr>
          <w:rFonts w:ascii="Arial" w:hAnsi="Arial" w:cs="Arial"/>
          <w:bCs/>
          <w:sz w:val="24"/>
        </w:rPr>
        <w:t xml:space="preserve"> </w:t>
      </w:r>
      <w:proofErr w:type="spellStart"/>
      <w:r w:rsidRPr="002A4636">
        <w:rPr>
          <w:rFonts w:ascii="Arial" w:hAnsi="Arial" w:cs="Arial"/>
          <w:bCs/>
          <w:sz w:val="24"/>
        </w:rPr>
        <w:t>for</w:t>
      </w:r>
      <w:proofErr w:type="spellEnd"/>
      <w:r w:rsidRPr="002A4636">
        <w:rPr>
          <w:rFonts w:ascii="Arial" w:hAnsi="Arial" w:cs="Arial"/>
          <w:bCs/>
          <w:sz w:val="24"/>
        </w:rPr>
        <w:t xml:space="preserve"> Vascular </w:t>
      </w:r>
      <w:proofErr w:type="spellStart"/>
      <w:r w:rsidRPr="002A4636">
        <w:rPr>
          <w:rFonts w:ascii="Arial" w:hAnsi="Arial" w:cs="Arial"/>
          <w:bCs/>
          <w:sz w:val="24"/>
        </w:rPr>
        <w:t>Behavioural</w:t>
      </w:r>
      <w:proofErr w:type="spellEnd"/>
      <w:r w:rsidRPr="002A4636">
        <w:rPr>
          <w:rFonts w:ascii="Arial" w:hAnsi="Arial" w:cs="Arial"/>
          <w:bCs/>
          <w:sz w:val="24"/>
        </w:rPr>
        <w:t>)</w:t>
      </w:r>
      <w:r w:rsidR="00AC20C0">
        <w:rPr>
          <w:rFonts w:ascii="Arial" w:hAnsi="Arial" w:cs="Arial"/>
          <w:bCs/>
          <w:sz w:val="24"/>
        </w:rPr>
        <w:t xml:space="preserve"> </w:t>
      </w:r>
      <w:r w:rsidR="00AC20C0">
        <w:rPr>
          <w:rFonts w:ascii="Arial" w:hAnsi="Arial" w:cs="Arial"/>
          <w:bCs/>
          <w:sz w:val="24"/>
          <w:vertAlign w:val="superscript"/>
        </w:rPr>
        <w:t>(32)</w:t>
      </w:r>
      <w:r w:rsidR="00AC20C0">
        <w:rPr>
          <w:rFonts w:ascii="Arial" w:hAnsi="Arial" w:cs="Arial"/>
          <w:bCs/>
          <w:sz w:val="24"/>
        </w:rPr>
        <w:t xml:space="preserve">, </w:t>
      </w:r>
      <w:r w:rsidRPr="002A4636">
        <w:rPr>
          <w:rFonts w:ascii="Arial" w:hAnsi="Arial" w:cs="Arial"/>
          <w:bCs/>
          <w:sz w:val="24"/>
        </w:rPr>
        <w:t>los cuales clasifican al deterioro cognitivo como posible y probable, aunque en la práctica, el tipo probable supone una minoría de casos por la presencia de patologías asociadas, como la enfermedad de Alzheimer, que no puede ser excluida de una forma cierta o segura, principalmente en personas mayores.</w:t>
      </w:r>
    </w:p>
    <w:p w:rsidR="002A4636" w:rsidRPr="002A4636" w:rsidRDefault="002A4636" w:rsidP="002A4636">
      <w:pPr>
        <w:jc w:val="both"/>
        <w:rPr>
          <w:rFonts w:ascii="Arial" w:hAnsi="Arial" w:cs="Arial"/>
          <w:bCs/>
          <w:sz w:val="24"/>
        </w:rPr>
      </w:pPr>
      <w:r w:rsidRPr="002A4636">
        <w:rPr>
          <w:rFonts w:ascii="Arial" w:hAnsi="Arial" w:cs="Arial"/>
          <w:bCs/>
          <w:sz w:val="24"/>
        </w:rPr>
        <w:t xml:space="preserve">Además de la enfermedad de Alzheimer (EA) y la demencia vascular, sigue en orden de frecuencia la demencia con cuerpos de </w:t>
      </w:r>
      <w:proofErr w:type="spellStart"/>
      <w:r w:rsidRPr="002A4636">
        <w:rPr>
          <w:rFonts w:ascii="Arial" w:hAnsi="Arial" w:cs="Arial"/>
          <w:bCs/>
          <w:sz w:val="24"/>
        </w:rPr>
        <w:t>Lewy</w:t>
      </w:r>
      <w:proofErr w:type="spellEnd"/>
      <w:r w:rsidRPr="002A4636">
        <w:rPr>
          <w:rFonts w:ascii="Arial" w:hAnsi="Arial" w:cs="Arial"/>
          <w:bCs/>
          <w:sz w:val="24"/>
        </w:rPr>
        <w:t xml:space="preserve"> y la demencia mixta, también común. </w:t>
      </w:r>
    </w:p>
    <w:p w:rsidR="002A4636" w:rsidRPr="002A4636" w:rsidRDefault="002A4636" w:rsidP="002A4636">
      <w:pPr>
        <w:jc w:val="both"/>
        <w:rPr>
          <w:rFonts w:ascii="Arial" w:hAnsi="Arial" w:cs="Arial"/>
          <w:bCs/>
          <w:sz w:val="24"/>
        </w:rPr>
      </w:pPr>
      <w:r w:rsidRPr="002A4636">
        <w:rPr>
          <w:rFonts w:ascii="Arial" w:hAnsi="Arial" w:cs="Arial"/>
          <w:bCs/>
          <w:sz w:val="24"/>
        </w:rPr>
        <w:t>Al evaluar de las necesidades de una persona con demencia se deben considerar otras enfermedades y los medicamentos que afectan e interactúan con la demencia y, el ambiente social y físico del individuo. Los problemas de salud física relacionados con la edad y la demencia, como la diabetes y la hipertensión, aumentan el riesgo de EA y la demencia vascular, haciendo más probable que la demencia sea mixta.</w:t>
      </w:r>
    </w:p>
    <w:p w:rsidR="002A4636" w:rsidRDefault="002A4636" w:rsidP="002A4636">
      <w:pPr>
        <w:jc w:val="both"/>
        <w:rPr>
          <w:rFonts w:ascii="Arial" w:hAnsi="Arial" w:cs="Arial"/>
          <w:bCs/>
          <w:sz w:val="24"/>
        </w:rPr>
      </w:pPr>
      <w:r w:rsidRPr="002A4636">
        <w:rPr>
          <w:rFonts w:ascii="Arial" w:hAnsi="Arial" w:cs="Arial"/>
          <w:bCs/>
          <w:sz w:val="24"/>
        </w:rPr>
        <w:t xml:space="preserve">Otras como la degeneración </w:t>
      </w:r>
      <w:proofErr w:type="spellStart"/>
      <w:r w:rsidRPr="002A4636">
        <w:rPr>
          <w:rFonts w:ascii="Arial" w:hAnsi="Arial" w:cs="Arial"/>
          <w:bCs/>
          <w:sz w:val="24"/>
        </w:rPr>
        <w:t>frontotemporal</w:t>
      </w:r>
      <w:proofErr w:type="spellEnd"/>
      <w:r w:rsidRPr="002A4636">
        <w:rPr>
          <w:rFonts w:ascii="Arial" w:hAnsi="Arial" w:cs="Arial"/>
          <w:bCs/>
          <w:sz w:val="24"/>
        </w:rPr>
        <w:t xml:space="preserve"> y las demencias asociadas con daño cerebral, infecciones y abuso de alcohol, son menos comunes, aunque también constituyen causas de aparición de un síndrome demencial.</w:t>
      </w:r>
    </w:p>
    <w:p w:rsidR="007B1D2F" w:rsidRDefault="007B1D2F" w:rsidP="00AC20C0">
      <w:pPr>
        <w:numPr>
          <w:ilvl w:val="0"/>
          <w:numId w:val="11"/>
        </w:numPr>
        <w:ind w:left="284" w:hanging="284"/>
        <w:jc w:val="both"/>
        <w:rPr>
          <w:rFonts w:ascii="Arial" w:hAnsi="Arial" w:cs="Arial"/>
          <w:bCs/>
          <w:sz w:val="24"/>
          <w:u w:val="single"/>
        </w:rPr>
      </w:pPr>
      <w:r>
        <w:rPr>
          <w:rFonts w:ascii="Arial" w:hAnsi="Arial" w:cs="Arial"/>
          <w:bCs/>
          <w:sz w:val="24"/>
          <w:u w:val="single"/>
        </w:rPr>
        <w:t xml:space="preserve">Demencias y factores relacionados. </w:t>
      </w:r>
    </w:p>
    <w:p w:rsidR="007B1D2F" w:rsidRPr="007B1D2F" w:rsidRDefault="007B1D2F" w:rsidP="007B1D2F">
      <w:pPr>
        <w:jc w:val="both"/>
        <w:rPr>
          <w:rFonts w:ascii="Arial" w:hAnsi="Arial" w:cs="Arial"/>
          <w:bCs/>
          <w:sz w:val="24"/>
        </w:rPr>
      </w:pPr>
      <w:r w:rsidRPr="007B1D2F">
        <w:rPr>
          <w:rFonts w:ascii="Arial" w:hAnsi="Arial" w:cs="Arial"/>
          <w:bCs/>
          <w:sz w:val="24"/>
        </w:rPr>
        <w:t>Según reportes de la Organización Internacional de la Enfermedad de Alzheimer (</w:t>
      </w:r>
      <w:proofErr w:type="spellStart"/>
      <w:r w:rsidRPr="007B1D2F">
        <w:rPr>
          <w:rFonts w:ascii="Arial" w:hAnsi="Arial" w:cs="Arial"/>
          <w:bCs/>
          <w:sz w:val="24"/>
        </w:rPr>
        <w:t>Alzheimer’s</w:t>
      </w:r>
      <w:proofErr w:type="spellEnd"/>
      <w:r w:rsidRPr="007B1D2F">
        <w:rPr>
          <w:rFonts w:ascii="Arial" w:hAnsi="Arial" w:cs="Arial"/>
          <w:bCs/>
          <w:sz w:val="24"/>
        </w:rPr>
        <w:t xml:space="preserve"> </w:t>
      </w:r>
      <w:proofErr w:type="spellStart"/>
      <w:r w:rsidRPr="007B1D2F">
        <w:rPr>
          <w:rFonts w:ascii="Arial" w:hAnsi="Arial" w:cs="Arial"/>
          <w:bCs/>
          <w:sz w:val="24"/>
        </w:rPr>
        <w:t>Disease</w:t>
      </w:r>
      <w:proofErr w:type="spellEnd"/>
      <w:r w:rsidRPr="007B1D2F">
        <w:rPr>
          <w:rFonts w:ascii="Arial" w:hAnsi="Arial" w:cs="Arial"/>
          <w:bCs/>
          <w:sz w:val="24"/>
        </w:rPr>
        <w:t xml:space="preserve"> International) el impacto de la demencia es mucho mayor en las mujeres que en los hombres y se incrementa en los países con bajos y medios ingresos </w:t>
      </w:r>
      <w:r w:rsidRPr="007B1D2F">
        <w:rPr>
          <w:rFonts w:ascii="Arial" w:hAnsi="Arial" w:cs="Arial"/>
          <w:bCs/>
          <w:sz w:val="24"/>
          <w:vertAlign w:val="superscript"/>
        </w:rPr>
        <w:t>(</w:t>
      </w:r>
      <w:r>
        <w:rPr>
          <w:rFonts w:ascii="Arial" w:hAnsi="Arial" w:cs="Arial"/>
          <w:bCs/>
          <w:sz w:val="24"/>
          <w:vertAlign w:val="superscript"/>
        </w:rPr>
        <w:t>33</w:t>
      </w:r>
      <w:r w:rsidRPr="007B1D2F">
        <w:rPr>
          <w:rFonts w:ascii="Arial" w:hAnsi="Arial" w:cs="Arial"/>
          <w:bCs/>
          <w:sz w:val="24"/>
          <w:vertAlign w:val="superscript"/>
        </w:rPr>
        <w:t>)</w:t>
      </w:r>
      <w:r w:rsidRPr="007B1D2F">
        <w:rPr>
          <w:rFonts w:ascii="Arial" w:hAnsi="Arial" w:cs="Arial"/>
          <w:bCs/>
          <w:sz w:val="24"/>
        </w:rPr>
        <w:t>, siendo reportado en diversos estudios que la prevalencia de la enfermedad es superior en este sexo, asociado a mayor riesgo de desarrollar</w:t>
      </w:r>
      <w:r>
        <w:rPr>
          <w:rFonts w:ascii="Arial" w:hAnsi="Arial" w:cs="Arial"/>
          <w:bCs/>
          <w:sz w:val="24"/>
        </w:rPr>
        <w:t>la</w:t>
      </w:r>
      <w:r w:rsidRPr="007B1D2F">
        <w:rPr>
          <w:rFonts w:ascii="Arial" w:hAnsi="Arial" w:cs="Arial"/>
          <w:bCs/>
          <w:sz w:val="24"/>
        </w:rPr>
        <w:t xml:space="preserve">. </w:t>
      </w:r>
    </w:p>
    <w:p w:rsidR="007B1D2F" w:rsidRPr="007B1D2F" w:rsidRDefault="007B1D2F" w:rsidP="007B1D2F">
      <w:pPr>
        <w:jc w:val="both"/>
        <w:rPr>
          <w:rFonts w:ascii="Arial" w:hAnsi="Arial" w:cs="Arial"/>
          <w:bCs/>
          <w:sz w:val="24"/>
        </w:rPr>
      </w:pPr>
      <w:r w:rsidRPr="007B1D2F">
        <w:rPr>
          <w:rFonts w:ascii="Arial" w:hAnsi="Arial" w:cs="Arial"/>
          <w:bCs/>
          <w:sz w:val="24"/>
        </w:rPr>
        <w:t xml:space="preserve">En dicho comportamiento pudieran estar involucrados múltiples factores, tales como la mayor prolongación de la esperanza de vida en las mujeres (feminización del envejecimiento), con una mayor carga de afecciones crónicas que a su vez representan factores de riesgo para la aparición y desarrollo de las demencias, mayor consumo de fármacos que pueden mermar el rendimiento cognitivo, mayor prevalencia de trastornos de la esfera psicoafectiva y particularmente de la depresión, también relacionada con el </w:t>
      </w:r>
      <w:r w:rsidRPr="007B1D2F">
        <w:rPr>
          <w:rFonts w:ascii="Arial" w:hAnsi="Arial" w:cs="Arial"/>
          <w:bCs/>
          <w:sz w:val="24"/>
        </w:rPr>
        <w:lastRenderedPageBreak/>
        <w:t xml:space="preserve">declinar de las funciones cognitivas y la mayor predisposición al desarrollo de demencias pues incluso estudios neuropatológicos posmortem confirman una mayor presencia de elementos a favor de la enfermedad tipo Alzheimer en individuos con historia de depresión o episodios depresivos durante el </w:t>
      </w:r>
      <w:r>
        <w:rPr>
          <w:rFonts w:ascii="Arial" w:hAnsi="Arial" w:cs="Arial"/>
          <w:bCs/>
          <w:sz w:val="24"/>
        </w:rPr>
        <w:t>curso de su deterioro cognitivo</w:t>
      </w:r>
      <w:r w:rsidRPr="007B1D2F">
        <w:rPr>
          <w:rFonts w:ascii="Arial" w:hAnsi="Arial" w:cs="Arial"/>
          <w:bCs/>
          <w:sz w:val="24"/>
        </w:rPr>
        <w:t>.</w:t>
      </w:r>
    </w:p>
    <w:p w:rsidR="007B1D2F" w:rsidRDefault="007B1D2F" w:rsidP="007B1D2F">
      <w:pPr>
        <w:jc w:val="both"/>
        <w:rPr>
          <w:rFonts w:ascii="Arial" w:hAnsi="Arial" w:cs="Arial"/>
          <w:bCs/>
          <w:sz w:val="24"/>
        </w:rPr>
      </w:pPr>
      <w:r w:rsidRPr="007B1D2F">
        <w:rPr>
          <w:rFonts w:ascii="Arial" w:hAnsi="Arial" w:cs="Arial"/>
          <w:bCs/>
          <w:sz w:val="24"/>
        </w:rPr>
        <w:t xml:space="preserve">Otros autores </w:t>
      </w:r>
      <w:r>
        <w:rPr>
          <w:rFonts w:ascii="Arial" w:hAnsi="Arial" w:cs="Arial"/>
          <w:bCs/>
          <w:sz w:val="24"/>
          <w:vertAlign w:val="superscript"/>
        </w:rPr>
        <w:t>(</w:t>
      </w:r>
      <w:r w:rsidRPr="007B1D2F">
        <w:rPr>
          <w:rFonts w:ascii="Arial" w:hAnsi="Arial" w:cs="Arial"/>
          <w:bCs/>
          <w:sz w:val="24"/>
          <w:vertAlign w:val="superscript"/>
        </w:rPr>
        <w:t>3</w:t>
      </w:r>
      <w:r>
        <w:rPr>
          <w:rFonts w:ascii="Arial" w:hAnsi="Arial" w:cs="Arial"/>
          <w:bCs/>
          <w:sz w:val="24"/>
          <w:vertAlign w:val="superscript"/>
        </w:rPr>
        <w:t>4</w:t>
      </w:r>
      <w:r w:rsidRPr="007B1D2F">
        <w:rPr>
          <w:rFonts w:ascii="Arial" w:hAnsi="Arial" w:cs="Arial"/>
          <w:bCs/>
          <w:sz w:val="24"/>
          <w:vertAlign w:val="superscript"/>
        </w:rPr>
        <w:t>,</w:t>
      </w:r>
      <w:r>
        <w:rPr>
          <w:rFonts w:ascii="Arial" w:hAnsi="Arial" w:cs="Arial"/>
          <w:bCs/>
          <w:sz w:val="24"/>
          <w:vertAlign w:val="superscript"/>
        </w:rPr>
        <w:t>35</w:t>
      </w:r>
      <w:r w:rsidRPr="007B1D2F">
        <w:rPr>
          <w:rFonts w:ascii="Arial" w:hAnsi="Arial" w:cs="Arial"/>
          <w:bCs/>
          <w:sz w:val="24"/>
          <w:vertAlign w:val="superscript"/>
        </w:rPr>
        <w:t>)</w:t>
      </w:r>
      <w:r w:rsidRPr="007B1D2F">
        <w:rPr>
          <w:rFonts w:ascii="Arial" w:hAnsi="Arial" w:cs="Arial"/>
          <w:bCs/>
          <w:sz w:val="24"/>
        </w:rPr>
        <w:t xml:space="preserve"> relacionan esta mayor incidencia y prevalencia en el sexo femenino con el déficit estrogénico que se produce en el último tercio de la vida, ya que, se ha demostrado una capacidad protectora de los estrógenos en las mujeres pre-menopáusicas, al influir sobre las enzimas colinérgicas y el factor de crecimiento nervioso y actuar como antioxidantes, además de prevenir la muerte celular inducida por el péptido β </w:t>
      </w:r>
      <w:proofErr w:type="spellStart"/>
      <w:r w:rsidRPr="007B1D2F">
        <w:rPr>
          <w:rFonts w:ascii="Arial" w:hAnsi="Arial" w:cs="Arial"/>
          <w:bCs/>
          <w:sz w:val="24"/>
        </w:rPr>
        <w:t>amiloide</w:t>
      </w:r>
      <w:proofErr w:type="spellEnd"/>
      <w:r w:rsidRPr="007B1D2F">
        <w:rPr>
          <w:rFonts w:ascii="Arial" w:hAnsi="Arial" w:cs="Arial"/>
          <w:bCs/>
          <w:sz w:val="24"/>
        </w:rPr>
        <w:t xml:space="preserve">, hecho que también se apoya en el hallazgo de incremento de la incidencia de demencia entre mujeres que han sufrido deprivación hormonal </w:t>
      </w:r>
      <w:proofErr w:type="spellStart"/>
      <w:r w:rsidRPr="007B1D2F">
        <w:rPr>
          <w:rFonts w:ascii="Arial" w:hAnsi="Arial" w:cs="Arial"/>
          <w:bCs/>
          <w:sz w:val="24"/>
        </w:rPr>
        <w:t>estrogénica</w:t>
      </w:r>
      <w:proofErr w:type="spellEnd"/>
      <w:r w:rsidRPr="007B1D2F">
        <w:rPr>
          <w:rFonts w:ascii="Arial" w:hAnsi="Arial" w:cs="Arial"/>
          <w:bCs/>
          <w:sz w:val="24"/>
        </w:rPr>
        <w:t xml:space="preserve"> temprana debido a cese precoz de la menstruación por otras afecciones o inducido por cirugía </w:t>
      </w:r>
      <w:r>
        <w:rPr>
          <w:rFonts w:ascii="Arial" w:hAnsi="Arial" w:cs="Arial"/>
          <w:bCs/>
          <w:sz w:val="24"/>
          <w:vertAlign w:val="superscript"/>
        </w:rPr>
        <w:t>(3</w:t>
      </w:r>
      <w:r w:rsidRPr="007B1D2F">
        <w:rPr>
          <w:rFonts w:ascii="Arial" w:hAnsi="Arial" w:cs="Arial"/>
          <w:bCs/>
          <w:sz w:val="24"/>
          <w:vertAlign w:val="superscript"/>
        </w:rPr>
        <w:t>6</w:t>
      </w:r>
      <w:r>
        <w:rPr>
          <w:rFonts w:ascii="Arial" w:hAnsi="Arial" w:cs="Arial"/>
          <w:bCs/>
          <w:sz w:val="24"/>
          <w:vertAlign w:val="superscript"/>
        </w:rPr>
        <w:t>,37</w:t>
      </w:r>
      <w:r w:rsidRPr="007B1D2F">
        <w:rPr>
          <w:rFonts w:ascii="Arial" w:hAnsi="Arial" w:cs="Arial"/>
          <w:bCs/>
          <w:sz w:val="24"/>
          <w:vertAlign w:val="superscript"/>
        </w:rPr>
        <w:t>).</w:t>
      </w:r>
      <w:r w:rsidRPr="007B1D2F">
        <w:rPr>
          <w:rFonts w:ascii="Arial" w:hAnsi="Arial" w:cs="Arial"/>
          <w:bCs/>
          <w:sz w:val="24"/>
        </w:rPr>
        <w:t xml:space="preserve"> También ha sido relacionado con una mayor presencia en este sexo de APOE e4 positivo (+APOE-ε4) y un estudio poblacional de seguimiento promedio de 5,6 años realizado en EE. UU asocia la deficiencia de vitamina D con un riesgo considerable de todos los tipos de demencias, incluyendo la enfermedad de Alzheimer</w:t>
      </w:r>
      <w:r>
        <w:rPr>
          <w:rFonts w:ascii="Arial" w:hAnsi="Arial" w:cs="Arial"/>
          <w:bCs/>
          <w:sz w:val="24"/>
        </w:rPr>
        <w:t>.</w:t>
      </w:r>
    </w:p>
    <w:p w:rsidR="007B1D2F" w:rsidRPr="007B1D2F" w:rsidRDefault="007B1D2F" w:rsidP="007B1D2F">
      <w:pPr>
        <w:jc w:val="both"/>
        <w:rPr>
          <w:rFonts w:ascii="Arial" w:hAnsi="Arial" w:cs="Arial"/>
          <w:bCs/>
          <w:sz w:val="24"/>
        </w:rPr>
      </w:pPr>
      <w:r w:rsidRPr="007B1D2F">
        <w:rPr>
          <w:rFonts w:ascii="Arial" w:hAnsi="Arial" w:cs="Arial"/>
          <w:bCs/>
          <w:sz w:val="24"/>
        </w:rPr>
        <w:t xml:space="preserve">La edad se considera el factor de riesgo no modificable más relacionado con las demencias. </w:t>
      </w:r>
      <w:proofErr w:type="spellStart"/>
      <w:r w:rsidRPr="007B1D2F">
        <w:rPr>
          <w:rFonts w:ascii="Arial" w:hAnsi="Arial" w:cs="Arial"/>
          <w:bCs/>
          <w:sz w:val="24"/>
        </w:rPr>
        <w:t>Fontán</w:t>
      </w:r>
      <w:proofErr w:type="spellEnd"/>
      <w:r w:rsidRPr="007B1D2F">
        <w:rPr>
          <w:rFonts w:ascii="Arial" w:hAnsi="Arial" w:cs="Arial"/>
          <w:bCs/>
          <w:sz w:val="24"/>
        </w:rPr>
        <w:t xml:space="preserve"> y colaboradores </w:t>
      </w:r>
      <w:r>
        <w:rPr>
          <w:rFonts w:ascii="Arial" w:hAnsi="Arial" w:cs="Arial"/>
          <w:bCs/>
          <w:sz w:val="24"/>
          <w:vertAlign w:val="superscript"/>
        </w:rPr>
        <w:t>(38</w:t>
      </w:r>
      <w:r w:rsidRPr="007B1D2F">
        <w:rPr>
          <w:rFonts w:ascii="Arial" w:hAnsi="Arial" w:cs="Arial"/>
          <w:bCs/>
          <w:sz w:val="24"/>
          <w:vertAlign w:val="superscript"/>
        </w:rPr>
        <w:t>)</w:t>
      </w:r>
      <w:r w:rsidRPr="007B1D2F">
        <w:rPr>
          <w:rFonts w:ascii="Arial" w:hAnsi="Arial" w:cs="Arial"/>
          <w:bCs/>
          <w:sz w:val="24"/>
        </w:rPr>
        <w:t xml:space="preserve"> destacan que la frecuencia de la enfermedad de Alzheimer aumenta proporcionalmente con la edad y se duplica cada 5 años a partir de los 65, alcanzando entre 40 y 50 % en los pacientes mayores de 85 años. </w:t>
      </w:r>
    </w:p>
    <w:p w:rsidR="007B1D2F" w:rsidRPr="003246CF" w:rsidRDefault="007B1D2F" w:rsidP="003246CF">
      <w:pPr>
        <w:jc w:val="both"/>
        <w:rPr>
          <w:rFonts w:ascii="Arial" w:hAnsi="Arial" w:cs="Arial"/>
          <w:bCs/>
          <w:sz w:val="24"/>
        </w:rPr>
      </w:pPr>
      <w:r w:rsidRPr="007B1D2F">
        <w:rPr>
          <w:rFonts w:ascii="Arial" w:hAnsi="Arial" w:cs="Arial"/>
          <w:bCs/>
          <w:sz w:val="24"/>
        </w:rPr>
        <w:t xml:space="preserve">La OMS plantea que aunque la edad es el principal factor de riesgo de demencia, la enfermedad no es una consecuencia inevitable del envejecimiento y no afecta exclusivamente a personas mayores pues se conoce que hasta un 9% de los casos presenta inicio temprano de la demencia (aparición de los síntomas entre 40 y 60 años), detectándose en estos casos mutaciones puntuales en la proteína precursora del </w:t>
      </w:r>
      <w:proofErr w:type="spellStart"/>
      <w:r w:rsidRPr="007B1D2F">
        <w:rPr>
          <w:rFonts w:ascii="Arial" w:hAnsi="Arial" w:cs="Arial"/>
          <w:bCs/>
          <w:sz w:val="24"/>
        </w:rPr>
        <w:t>amiloide</w:t>
      </w:r>
      <w:proofErr w:type="spellEnd"/>
      <w:r w:rsidRPr="007B1D2F">
        <w:rPr>
          <w:rFonts w:ascii="Arial" w:hAnsi="Arial" w:cs="Arial"/>
          <w:bCs/>
          <w:sz w:val="24"/>
        </w:rPr>
        <w:t xml:space="preserve"> (APP, cromosoma 21), en la </w:t>
      </w:r>
      <w:proofErr w:type="spellStart"/>
      <w:r w:rsidRPr="007B1D2F">
        <w:rPr>
          <w:rFonts w:ascii="Arial" w:hAnsi="Arial" w:cs="Arial"/>
          <w:bCs/>
          <w:sz w:val="24"/>
        </w:rPr>
        <w:t>presenilina</w:t>
      </w:r>
      <w:proofErr w:type="spellEnd"/>
      <w:r w:rsidRPr="007B1D2F">
        <w:rPr>
          <w:rFonts w:ascii="Arial" w:hAnsi="Arial" w:cs="Arial"/>
          <w:bCs/>
          <w:sz w:val="24"/>
        </w:rPr>
        <w:t xml:space="preserve"> 1 (PS1, cromosoma 14) y en la </w:t>
      </w:r>
      <w:proofErr w:type="spellStart"/>
      <w:r w:rsidRPr="007B1D2F">
        <w:rPr>
          <w:rFonts w:ascii="Arial" w:hAnsi="Arial" w:cs="Arial"/>
          <w:bCs/>
          <w:sz w:val="24"/>
        </w:rPr>
        <w:t>presenilina</w:t>
      </w:r>
      <w:proofErr w:type="spellEnd"/>
      <w:r w:rsidRPr="007B1D2F">
        <w:rPr>
          <w:rFonts w:ascii="Arial" w:hAnsi="Arial" w:cs="Arial"/>
          <w:bCs/>
          <w:sz w:val="24"/>
        </w:rPr>
        <w:t xml:space="preserve"> 2 (PS2, cromosoma 1), genes que causan una transmisión autosómica dominante de la enfermedad </w:t>
      </w:r>
      <w:r w:rsidRPr="003246CF">
        <w:rPr>
          <w:rFonts w:ascii="Arial" w:hAnsi="Arial" w:cs="Arial"/>
          <w:bCs/>
          <w:sz w:val="24"/>
          <w:vertAlign w:val="superscript"/>
        </w:rPr>
        <w:t>(</w:t>
      </w:r>
      <w:r w:rsidRPr="003246CF">
        <w:rPr>
          <w:rFonts w:ascii="Arial" w:hAnsi="Arial" w:cs="Arial"/>
          <w:bCs/>
          <w:sz w:val="24"/>
          <w:vertAlign w:val="superscript"/>
        </w:rPr>
        <w:t>19</w:t>
      </w:r>
      <w:r w:rsidRPr="003246CF">
        <w:rPr>
          <w:rFonts w:ascii="Arial" w:hAnsi="Arial" w:cs="Arial"/>
          <w:bCs/>
          <w:sz w:val="24"/>
          <w:vertAlign w:val="superscript"/>
        </w:rPr>
        <w:t>)</w:t>
      </w:r>
      <w:r w:rsidR="003246CF">
        <w:rPr>
          <w:rFonts w:ascii="Arial" w:hAnsi="Arial" w:cs="Arial"/>
          <w:bCs/>
          <w:sz w:val="24"/>
        </w:rPr>
        <w:t>.</w:t>
      </w:r>
    </w:p>
    <w:p w:rsidR="007B1D2F" w:rsidRPr="003246CF" w:rsidRDefault="007B1D2F" w:rsidP="003246CF">
      <w:pPr>
        <w:jc w:val="both"/>
        <w:rPr>
          <w:rFonts w:ascii="Arial" w:hAnsi="Arial" w:cs="Arial"/>
          <w:bCs/>
          <w:sz w:val="24"/>
        </w:rPr>
      </w:pPr>
      <w:r w:rsidRPr="003246CF">
        <w:rPr>
          <w:rFonts w:ascii="Arial" w:hAnsi="Arial" w:cs="Arial"/>
          <w:bCs/>
          <w:sz w:val="24"/>
        </w:rPr>
        <w:t xml:space="preserve">Son numerosos los estudios que han relacionado el papel de una elevada educación en la reducción del número de casos con demencia. Es planteado por diversos autores que una pobre reserva cognitiva, resultado de un bajo nivel educacional y pobre actividad intelectual en la vida temprana, se ha asociado con incrementos en el riesgo de padecer deterioro cognitivo y demencia. </w:t>
      </w:r>
    </w:p>
    <w:p w:rsidR="007B1D2F" w:rsidRPr="003246CF" w:rsidRDefault="007B1D2F" w:rsidP="003246CF">
      <w:pPr>
        <w:jc w:val="both"/>
        <w:rPr>
          <w:rFonts w:ascii="Arial" w:hAnsi="Arial" w:cs="Arial"/>
          <w:bCs/>
          <w:sz w:val="24"/>
        </w:rPr>
      </w:pPr>
      <w:r w:rsidRPr="003246CF">
        <w:rPr>
          <w:rFonts w:ascii="Arial" w:hAnsi="Arial" w:cs="Arial"/>
          <w:bCs/>
          <w:sz w:val="24"/>
        </w:rPr>
        <w:t xml:space="preserve">Han sido propuestos dos modelos basados en dos tipos de reserva cerebral: pasiva y activa. En el modelo de reserva cognitiva pasiva, la estructura del </w:t>
      </w:r>
      <w:r w:rsidRPr="003246CF">
        <w:rPr>
          <w:rFonts w:ascii="Arial" w:hAnsi="Arial" w:cs="Arial"/>
          <w:bCs/>
          <w:sz w:val="24"/>
        </w:rPr>
        <w:lastRenderedPageBreak/>
        <w:t xml:space="preserve">cerebro (neuronas, sinapsis, volumen del cerebro) proporciona la base de esta reserva y es determinada en primer lugar por la genética del individuo, aunque existe una influencia del ambiente (por ejemplo, el ambiente en los primeros años de la vida, nutrición y otros). El modelo activo o funcional de reserva, es el que se conoce con más frecuencia como “reserva cognitiva” (inteligencia, ocupación y educación) y se relaciona en mayor medida con el procesamiento neural y la organización sináptica que con diferencias neuroanatómicas, se relaciona con la habilidad de reclutar redes cerebrales alternativas y/o adicionales, en compensación de las dañadas, para realizar una tarea de manera eficaz o para mantener un estado clínico dentro de la “normalidad”, un proceso que se conoce como compensación </w:t>
      </w:r>
      <w:r w:rsidRPr="003246CF">
        <w:rPr>
          <w:rFonts w:ascii="Arial" w:hAnsi="Arial" w:cs="Arial"/>
          <w:bCs/>
          <w:sz w:val="24"/>
          <w:vertAlign w:val="superscript"/>
        </w:rPr>
        <w:t>(</w:t>
      </w:r>
      <w:r w:rsidR="003246CF">
        <w:rPr>
          <w:rFonts w:ascii="Arial" w:hAnsi="Arial" w:cs="Arial"/>
          <w:bCs/>
          <w:sz w:val="24"/>
          <w:vertAlign w:val="superscript"/>
        </w:rPr>
        <w:t>3</w:t>
      </w:r>
      <w:r w:rsidRPr="003246CF">
        <w:rPr>
          <w:rFonts w:ascii="Arial" w:hAnsi="Arial" w:cs="Arial"/>
          <w:bCs/>
          <w:sz w:val="24"/>
          <w:vertAlign w:val="superscript"/>
        </w:rPr>
        <w:t>9)</w:t>
      </w:r>
      <w:r w:rsidRPr="003246CF">
        <w:rPr>
          <w:rFonts w:ascii="Arial" w:hAnsi="Arial" w:cs="Arial"/>
          <w:bCs/>
          <w:sz w:val="24"/>
        </w:rPr>
        <w:t xml:space="preserve">. </w:t>
      </w:r>
    </w:p>
    <w:p w:rsidR="007B1D2F" w:rsidRPr="003246CF" w:rsidRDefault="007B1D2F" w:rsidP="003246CF">
      <w:pPr>
        <w:jc w:val="both"/>
        <w:rPr>
          <w:rFonts w:ascii="Arial" w:hAnsi="Arial" w:cs="Arial"/>
          <w:bCs/>
          <w:sz w:val="24"/>
        </w:rPr>
      </w:pPr>
      <w:r w:rsidRPr="003246CF">
        <w:rPr>
          <w:rFonts w:ascii="Arial" w:hAnsi="Arial" w:cs="Arial"/>
          <w:bCs/>
          <w:sz w:val="24"/>
        </w:rPr>
        <w:t>Una baja capacidad de reserva cognitiva se ha relacionado con una presentación más temprana de las alteraciones neuropatológicas propias de las demencias, por lo que los factores ambientales que mejoran la reserva cognitiva pudieran determinar un retardo en el comienzo de los síntomas y de la discapacidad. Mientras mayor el nivel de escolaridad, se plantea que este actúa como un factor protector o de desarrollo de las reservas o capacidades cognitivas e incluso cerebrales, en relación con las experiencias adquiridas y las aptitudes de cada individuo para la vida.</w:t>
      </w:r>
    </w:p>
    <w:p w:rsidR="007B1D2F" w:rsidRPr="003246CF" w:rsidRDefault="007B1D2F" w:rsidP="003246CF">
      <w:pPr>
        <w:jc w:val="both"/>
        <w:rPr>
          <w:rFonts w:ascii="Arial" w:hAnsi="Arial" w:cs="Arial"/>
          <w:bCs/>
          <w:sz w:val="24"/>
        </w:rPr>
      </w:pPr>
      <w:r w:rsidRPr="003246CF">
        <w:rPr>
          <w:rFonts w:ascii="Arial" w:hAnsi="Arial" w:cs="Arial"/>
          <w:bCs/>
          <w:sz w:val="24"/>
        </w:rPr>
        <w:t xml:space="preserve">En estudio realizado por </w:t>
      </w:r>
      <w:proofErr w:type="spellStart"/>
      <w:r w:rsidRPr="003246CF">
        <w:rPr>
          <w:rFonts w:ascii="Arial" w:hAnsi="Arial" w:cs="Arial"/>
          <w:bCs/>
          <w:sz w:val="24"/>
        </w:rPr>
        <w:t>Wei</w:t>
      </w:r>
      <w:proofErr w:type="spellEnd"/>
      <w:r w:rsidRPr="003246CF">
        <w:rPr>
          <w:rFonts w:ascii="Arial" w:hAnsi="Arial" w:cs="Arial"/>
          <w:bCs/>
          <w:sz w:val="24"/>
        </w:rPr>
        <w:t xml:space="preserve"> </w:t>
      </w:r>
      <w:proofErr w:type="spellStart"/>
      <w:r w:rsidRPr="003246CF">
        <w:rPr>
          <w:rFonts w:ascii="Arial" w:hAnsi="Arial" w:cs="Arial"/>
          <w:bCs/>
          <w:sz w:val="24"/>
        </w:rPr>
        <w:t>Xu</w:t>
      </w:r>
      <w:proofErr w:type="spellEnd"/>
      <w:r w:rsidRPr="003246CF">
        <w:rPr>
          <w:rFonts w:ascii="Arial" w:hAnsi="Arial" w:cs="Arial"/>
          <w:bCs/>
          <w:sz w:val="24"/>
        </w:rPr>
        <w:t xml:space="preserve"> et al </w:t>
      </w:r>
      <w:r w:rsidR="003246CF">
        <w:rPr>
          <w:rFonts w:ascii="Arial" w:hAnsi="Arial" w:cs="Arial"/>
          <w:bCs/>
          <w:sz w:val="24"/>
          <w:vertAlign w:val="superscript"/>
        </w:rPr>
        <w:t>(40</w:t>
      </w:r>
      <w:r w:rsidRPr="003246CF">
        <w:rPr>
          <w:rFonts w:ascii="Arial" w:hAnsi="Arial" w:cs="Arial"/>
          <w:bCs/>
          <w:sz w:val="24"/>
          <w:vertAlign w:val="superscript"/>
        </w:rPr>
        <w:t>)</w:t>
      </w:r>
      <w:r w:rsidRPr="003246CF">
        <w:rPr>
          <w:rFonts w:ascii="Arial" w:hAnsi="Arial" w:cs="Arial"/>
          <w:bCs/>
          <w:sz w:val="24"/>
        </w:rPr>
        <w:t xml:space="preserve">, los autores sugieren que la educación superior reduce significativamente el riesgo de demencia en forma lineal dosis-respuesta y que la volumetría cerebral, el grosor cortical y el nivel de </w:t>
      </w:r>
      <w:proofErr w:type="spellStart"/>
      <w:r w:rsidRPr="003246CF">
        <w:rPr>
          <w:rFonts w:ascii="Arial" w:hAnsi="Arial" w:cs="Arial"/>
          <w:bCs/>
          <w:sz w:val="24"/>
        </w:rPr>
        <w:t>fosfoesfingolípidos</w:t>
      </w:r>
      <w:proofErr w:type="spellEnd"/>
      <w:r w:rsidRPr="003246CF">
        <w:rPr>
          <w:rFonts w:ascii="Arial" w:hAnsi="Arial" w:cs="Arial"/>
          <w:bCs/>
          <w:sz w:val="24"/>
        </w:rPr>
        <w:t>, estarían asociados positivamente con la reserva cerebral y ayudarían a la transducción de señales cerebrales así como a la recuperación en la apoptosis cerebral. Otros autores sugieren que por cada año adicional de estudios se disminuiría en 7% el riesgo de demencia.</w:t>
      </w:r>
    </w:p>
    <w:p w:rsidR="007B1D2F" w:rsidRPr="003246CF" w:rsidRDefault="007B1D2F" w:rsidP="003246CF">
      <w:pPr>
        <w:jc w:val="both"/>
        <w:rPr>
          <w:rFonts w:ascii="Arial" w:hAnsi="Arial" w:cs="Arial"/>
          <w:bCs/>
          <w:sz w:val="24"/>
        </w:rPr>
      </w:pPr>
      <w:r w:rsidRPr="003246CF">
        <w:rPr>
          <w:rFonts w:ascii="Arial" w:hAnsi="Arial" w:cs="Arial"/>
          <w:bCs/>
          <w:sz w:val="24"/>
        </w:rPr>
        <w:t xml:space="preserve">Investigaciones más recientes al respecto enuncian que la alta reserva cognitiva (RC) juega un rol protector sólo en estadios pre-demencia, ya que, pese a los niveles de atrofia cerebral alcanzada, se mantiene un buen funcionamiento cognitivo en atención, ejecución, memoria y capacidad </w:t>
      </w:r>
      <w:proofErr w:type="spellStart"/>
      <w:r w:rsidRPr="003246CF">
        <w:rPr>
          <w:rFonts w:ascii="Arial" w:hAnsi="Arial" w:cs="Arial"/>
          <w:bCs/>
          <w:sz w:val="24"/>
        </w:rPr>
        <w:t>visuoespacial</w:t>
      </w:r>
      <w:proofErr w:type="spellEnd"/>
      <w:r w:rsidRPr="003246CF">
        <w:rPr>
          <w:rFonts w:ascii="Arial" w:hAnsi="Arial" w:cs="Arial"/>
          <w:bCs/>
          <w:sz w:val="24"/>
        </w:rPr>
        <w:t xml:space="preserve"> </w:t>
      </w:r>
      <w:r w:rsidRPr="003246CF">
        <w:rPr>
          <w:rFonts w:ascii="Arial" w:hAnsi="Arial" w:cs="Arial"/>
          <w:bCs/>
          <w:sz w:val="24"/>
          <w:vertAlign w:val="superscript"/>
        </w:rPr>
        <w:t>(</w:t>
      </w:r>
      <w:r w:rsidR="003246CF">
        <w:rPr>
          <w:rFonts w:ascii="Arial" w:hAnsi="Arial" w:cs="Arial"/>
          <w:bCs/>
          <w:sz w:val="24"/>
          <w:vertAlign w:val="superscript"/>
        </w:rPr>
        <w:t>41,42</w:t>
      </w:r>
      <w:r w:rsidRPr="003246CF">
        <w:rPr>
          <w:rFonts w:ascii="Arial" w:hAnsi="Arial" w:cs="Arial"/>
          <w:bCs/>
          <w:sz w:val="24"/>
          <w:vertAlign w:val="superscript"/>
        </w:rPr>
        <w:t>)</w:t>
      </w:r>
      <w:r w:rsidR="003246CF">
        <w:rPr>
          <w:rFonts w:ascii="Arial" w:hAnsi="Arial" w:cs="Arial"/>
          <w:bCs/>
          <w:sz w:val="24"/>
        </w:rPr>
        <w:t>.</w:t>
      </w:r>
      <w:r w:rsidRPr="003246CF">
        <w:rPr>
          <w:rFonts w:ascii="Arial" w:hAnsi="Arial" w:cs="Arial"/>
          <w:bCs/>
          <w:sz w:val="24"/>
        </w:rPr>
        <w:t xml:space="preserve"> Por ello, una RC alta sólo tendría un beneficio potencial para retrasar o desacelerar el deterioro cognitivo previo a una demencia, ya que una vez instaurada, los déficits a nivel de memoria y otros procesos cognitivos no logran ser atenuados.</w:t>
      </w:r>
    </w:p>
    <w:p w:rsidR="003246CF" w:rsidRPr="003246CF" w:rsidRDefault="003246CF" w:rsidP="003246CF">
      <w:pPr>
        <w:jc w:val="both"/>
        <w:rPr>
          <w:rFonts w:ascii="Arial" w:hAnsi="Arial" w:cs="Arial"/>
          <w:bCs/>
          <w:sz w:val="24"/>
        </w:rPr>
      </w:pPr>
      <w:r w:rsidRPr="003246CF">
        <w:rPr>
          <w:rFonts w:ascii="Arial" w:hAnsi="Arial" w:cs="Arial"/>
          <w:bCs/>
          <w:sz w:val="24"/>
        </w:rPr>
        <w:t xml:space="preserve">Estudios indican que la carencia de compañía puede constituir un factor de riesgo predisponente al deterioro de las funciones cognitivas. Se aporta que los solteros y viudos tienen un mayor riesgo de desarrollar enfermedad, atribuyendo parte de este riesgo a una peor salud física debido a la soledad </w:t>
      </w:r>
      <w:r w:rsidRPr="003246CF">
        <w:rPr>
          <w:rFonts w:ascii="Arial" w:hAnsi="Arial" w:cs="Arial"/>
          <w:bCs/>
          <w:sz w:val="24"/>
          <w:vertAlign w:val="superscript"/>
        </w:rPr>
        <w:t>(</w:t>
      </w:r>
      <w:r>
        <w:rPr>
          <w:rFonts w:ascii="Arial" w:hAnsi="Arial" w:cs="Arial"/>
          <w:bCs/>
          <w:sz w:val="24"/>
          <w:vertAlign w:val="superscript"/>
        </w:rPr>
        <w:t>43</w:t>
      </w:r>
      <w:r w:rsidRPr="003246CF">
        <w:rPr>
          <w:rFonts w:ascii="Arial" w:hAnsi="Arial" w:cs="Arial"/>
          <w:bCs/>
          <w:sz w:val="24"/>
          <w:vertAlign w:val="superscript"/>
        </w:rPr>
        <w:t>)</w:t>
      </w:r>
      <w:r w:rsidRPr="003246CF">
        <w:rPr>
          <w:rFonts w:ascii="Arial" w:hAnsi="Arial" w:cs="Arial"/>
          <w:bCs/>
          <w:sz w:val="24"/>
        </w:rPr>
        <w:t xml:space="preserve">. En investigación realizada en Chile, la viudez fue un factor de riesgo de progresión del deterioro cognitivo, asociado además a la inactividad física, </w:t>
      </w:r>
      <w:r w:rsidRPr="003246CF">
        <w:rPr>
          <w:rFonts w:ascii="Arial" w:hAnsi="Arial" w:cs="Arial"/>
          <w:bCs/>
          <w:sz w:val="24"/>
        </w:rPr>
        <w:lastRenderedPageBreak/>
        <w:t>depresión y al bajo peso corporal, destacando a la viudez como un proceso de menor</w:t>
      </w:r>
      <w:r>
        <w:rPr>
          <w:rFonts w:ascii="Arial" w:hAnsi="Arial" w:cs="Arial"/>
          <w:bCs/>
          <w:sz w:val="24"/>
        </w:rPr>
        <w:t xml:space="preserve"> interacción con otras personas.</w:t>
      </w:r>
    </w:p>
    <w:p w:rsidR="003246CF" w:rsidRPr="003246CF" w:rsidRDefault="003246CF" w:rsidP="003246CF">
      <w:pPr>
        <w:jc w:val="both"/>
        <w:rPr>
          <w:rFonts w:ascii="Arial" w:hAnsi="Arial" w:cs="Arial"/>
          <w:bCs/>
          <w:sz w:val="24"/>
        </w:rPr>
      </w:pPr>
      <w:r w:rsidRPr="003246CF">
        <w:rPr>
          <w:rFonts w:ascii="Arial" w:hAnsi="Arial" w:cs="Arial"/>
          <w:bCs/>
          <w:sz w:val="24"/>
        </w:rPr>
        <w:t xml:space="preserve">La soledad representa un reconocido factor de riesgo psicosocial, que incrementa el riesgo de condiciones y síndromes geriátricos como el deterioro funcional, la inmovilidad, la depresión, las caídas, el deterioro cognitivo, la malnutrición, así como la ocurrencia de desenlaces adversos como la hospitalización, los reingresos, el deterioro funcional y la muerte. </w:t>
      </w:r>
    </w:p>
    <w:p w:rsidR="003246CF" w:rsidRPr="003246CF" w:rsidRDefault="003246CF" w:rsidP="003246CF">
      <w:pPr>
        <w:jc w:val="both"/>
        <w:rPr>
          <w:rFonts w:ascii="Arial" w:hAnsi="Arial" w:cs="Arial"/>
          <w:bCs/>
          <w:sz w:val="24"/>
        </w:rPr>
      </w:pPr>
      <w:r w:rsidRPr="003246CF">
        <w:rPr>
          <w:rFonts w:ascii="Arial" w:hAnsi="Arial" w:cs="Arial"/>
          <w:bCs/>
          <w:sz w:val="24"/>
        </w:rPr>
        <w:t xml:space="preserve">De igual manera también se determina a causa de la influencia de la soledad, un enlentecimiento en la velocidad de procesamiento cuando se compara el desempeño de un afectado con otra persona mayor, de edad similar y sin afectación aparente, presencia de un déficit inhibitorio principalmente en la atención que regula los contenidos en la memoria operativa, provocando esto interferencia y confusión, disminución en la capacidad de la memoria operativa, do limitaciones en la elaboración y comprensión de oraciones semánticas o sintácticas complejas y déficit en la trasmisión de información, con un diálogo pobre y enlentecido </w:t>
      </w:r>
      <w:r>
        <w:rPr>
          <w:rFonts w:ascii="Arial" w:hAnsi="Arial" w:cs="Arial"/>
          <w:bCs/>
          <w:sz w:val="24"/>
          <w:vertAlign w:val="superscript"/>
        </w:rPr>
        <w:t>(44</w:t>
      </w:r>
      <w:r w:rsidRPr="003246CF">
        <w:rPr>
          <w:rFonts w:ascii="Arial" w:hAnsi="Arial" w:cs="Arial"/>
          <w:bCs/>
          <w:sz w:val="24"/>
          <w:vertAlign w:val="superscript"/>
        </w:rPr>
        <w:t>)</w:t>
      </w:r>
      <w:r w:rsidRPr="003246CF">
        <w:rPr>
          <w:rFonts w:ascii="Arial" w:hAnsi="Arial" w:cs="Arial"/>
          <w:bCs/>
          <w:sz w:val="24"/>
        </w:rPr>
        <w:t xml:space="preserve">. </w:t>
      </w:r>
    </w:p>
    <w:p w:rsidR="003246CF" w:rsidRPr="003246CF" w:rsidRDefault="003246CF" w:rsidP="003246CF">
      <w:pPr>
        <w:jc w:val="both"/>
        <w:rPr>
          <w:rFonts w:ascii="Arial" w:hAnsi="Arial" w:cs="Arial"/>
          <w:bCs/>
          <w:sz w:val="24"/>
        </w:rPr>
      </w:pPr>
      <w:r w:rsidRPr="003246CF">
        <w:rPr>
          <w:rFonts w:ascii="Arial" w:hAnsi="Arial" w:cs="Arial"/>
          <w:bCs/>
          <w:sz w:val="24"/>
        </w:rPr>
        <w:t xml:space="preserve">Otros mecanismos enunciados al explicar la relación de este factor de riesgo con las demencias derivan de una mayor reactividad al estrés, lo que se relaciona con una activación prolongada del eje hipotalámico-hipofisario-adrenal y el sistema simpático-adrenal, lo que ocasiona desregulación del sistema inmune, incremento de los niveles de estrés oxidativo y que genes </w:t>
      </w:r>
      <w:proofErr w:type="spellStart"/>
      <w:r w:rsidRPr="003246CF">
        <w:rPr>
          <w:rFonts w:ascii="Arial" w:hAnsi="Arial" w:cs="Arial"/>
          <w:bCs/>
          <w:sz w:val="24"/>
        </w:rPr>
        <w:t>proinflamatorios</w:t>
      </w:r>
      <w:proofErr w:type="spellEnd"/>
      <w:r w:rsidRPr="003246CF">
        <w:rPr>
          <w:rFonts w:ascii="Arial" w:hAnsi="Arial" w:cs="Arial"/>
          <w:bCs/>
          <w:sz w:val="24"/>
        </w:rPr>
        <w:t xml:space="preserve"> presenten sobreexpresión </w:t>
      </w:r>
      <w:r w:rsidRPr="003246CF">
        <w:rPr>
          <w:rFonts w:ascii="Arial" w:hAnsi="Arial" w:cs="Arial"/>
          <w:bCs/>
          <w:sz w:val="24"/>
          <w:vertAlign w:val="superscript"/>
        </w:rPr>
        <w:t>(</w:t>
      </w:r>
      <w:r>
        <w:rPr>
          <w:rFonts w:ascii="Arial" w:hAnsi="Arial" w:cs="Arial"/>
          <w:bCs/>
          <w:sz w:val="24"/>
          <w:vertAlign w:val="superscript"/>
        </w:rPr>
        <w:t>45,46</w:t>
      </w:r>
      <w:r w:rsidRPr="003246CF">
        <w:rPr>
          <w:rFonts w:ascii="Arial" w:hAnsi="Arial" w:cs="Arial"/>
          <w:bCs/>
          <w:sz w:val="24"/>
          <w:vertAlign w:val="superscript"/>
        </w:rPr>
        <w:t>)</w:t>
      </w:r>
      <w:r w:rsidRPr="003246CF">
        <w:rPr>
          <w:rFonts w:ascii="Arial" w:hAnsi="Arial" w:cs="Arial"/>
          <w:bCs/>
          <w:sz w:val="24"/>
        </w:rPr>
        <w:t xml:space="preserve">. </w:t>
      </w:r>
    </w:p>
    <w:p w:rsidR="003246CF" w:rsidRPr="003246CF" w:rsidRDefault="003246CF" w:rsidP="003246CF">
      <w:pPr>
        <w:jc w:val="both"/>
        <w:rPr>
          <w:rFonts w:ascii="Arial" w:hAnsi="Arial" w:cs="Arial"/>
          <w:bCs/>
          <w:sz w:val="24"/>
        </w:rPr>
      </w:pPr>
      <w:r w:rsidRPr="003246CF">
        <w:rPr>
          <w:rFonts w:ascii="Arial" w:hAnsi="Arial" w:cs="Arial"/>
          <w:bCs/>
          <w:sz w:val="24"/>
        </w:rPr>
        <w:t xml:space="preserve">Existe evidencia creciente de que el aislamiento social es un factor de riesgo para la demencia y aumenta el riesgo de hipertensión, coronariopatía y depresión. También podría resultar en inactividad cognitiva, vinculada a una mayor velocidad del deterioro cognitivo y menor estado de ánimo. </w:t>
      </w:r>
    </w:p>
    <w:p w:rsidR="002A4636" w:rsidRPr="003246CF" w:rsidRDefault="002A4636" w:rsidP="003246CF">
      <w:pPr>
        <w:pStyle w:val="Prrafodelista"/>
        <w:numPr>
          <w:ilvl w:val="0"/>
          <w:numId w:val="12"/>
        </w:numPr>
        <w:ind w:left="284" w:hanging="284"/>
        <w:jc w:val="both"/>
        <w:rPr>
          <w:rFonts w:ascii="Arial" w:hAnsi="Arial" w:cs="Arial"/>
          <w:bCs/>
          <w:sz w:val="24"/>
        </w:rPr>
      </w:pPr>
      <w:r w:rsidRPr="003246CF">
        <w:rPr>
          <w:rFonts w:ascii="Arial" w:hAnsi="Arial" w:cs="Arial"/>
          <w:bCs/>
          <w:sz w:val="24"/>
          <w:u w:val="single"/>
        </w:rPr>
        <w:t>Multimorbilidad y demencias</w:t>
      </w:r>
      <w:r w:rsidRPr="003246CF">
        <w:rPr>
          <w:rFonts w:ascii="Arial" w:hAnsi="Arial" w:cs="Arial"/>
          <w:bCs/>
          <w:sz w:val="24"/>
        </w:rPr>
        <w:t xml:space="preserve">: </w:t>
      </w:r>
    </w:p>
    <w:p w:rsidR="00CD078D" w:rsidRPr="00CD078D" w:rsidRDefault="00CD078D" w:rsidP="00CD078D">
      <w:pPr>
        <w:jc w:val="both"/>
        <w:rPr>
          <w:rFonts w:ascii="Arial" w:hAnsi="Arial" w:cs="Arial"/>
          <w:bCs/>
          <w:sz w:val="24"/>
        </w:rPr>
      </w:pPr>
      <w:r w:rsidRPr="00CD078D">
        <w:rPr>
          <w:rFonts w:ascii="Arial" w:hAnsi="Arial" w:cs="Arial"/>
          <w:bCs/>
          <w:sz w:val="24"/>
        </w:rPr>
        <w:t xml:space="preserve">Diversas investigaciones </w:t>
      </w:r>
      <w:r w:rsidRPr="00CD078D">
        <w:rPr>
          <w:rFonts w:ascii="Arial" w:hAnsi="Arial" w:cs="Arial"/>
          <w:bCs/>
          <w:sz w:val="24"/>
          <w:vertAlign w:val="superscript"/>
        </w:rPr>
        <w:t>(47,48)</w:t>
      </w:r>
      <w:r w:rsidRPr="00CD078D">
        <w:rPr>
          <w:rFonts w:ascii="Arial" w:hAnsi="Arial" w:cs="Arial"/>
          <w:bCs/>
          <w:sz w:val="24"/>
        </w:rPr>
        <w:t xml:space="preserve"> sugieren que en la edad media de la vida los factores de riesgo de enfermedades vasculares, entre estos: hipertensión arterial (HTA), diabetes mellitus (DM), hábito de fumar, </w:t>
      </w:r>
      <w:proofErr w:type="spellStart"/>
      <w:r w:rsidRPr="00CD078D">
        <w:rPr>
          <w:rFonts w:ascii="Arial" w:hAnsi="Arial" w:cs="Arial"/>
          <w:bCs/>
          <w:sz w:val="24"/>
        </w:rPr>
        <w:t>dislipidemia</w:t>
      </w:r>
      <w:proofErr w:type="spellEnd"/>
      <w:r w:rsidRPr="00CD078D">
        <w:rPr>
          <w:rFonts w:ascii="Arial" w:hAnsi="Arial" w:cs="Arial"/>
          <w:bCs/>
          <w:sz w:val="24"/>
        </w:rPr>
        <w:t>, obesidad, síndrome metabólico (SM) y cardiopatía isquémica (CI), predisponen tanto a la EA como a las demencias vasculares por diversos mecanismos que incluyen: el daño  vascular,  producción  por  el  tejido  adiposo  de  sustancias  que  son importantes  en el metabolismo (</w:t>
      </w:r>
      <w:proofErr w:type="spellStart"/>
      <w:r w:rsidRPr="00CD078D">
        <w:rPr>
          <w:rFonts w:ascii="Arial" w:hAnsi="Arial" w:cs="Arial"/>
          <w:bCs/>
          <w:sz w:val="24"/>
        </w:rPr>
        <w:t>adipocinas</w:t>
      </w:r>
      <w:proofErr w:type="spellEnd"/>
      <w:r w:rsidRPr="00CD078D">
        <w:rPr>
          <w:rFonts w:ascii="Arial" w:hAnsi="Arial" w:cs="Arial"/>
          <w:bCs/>
          <w:sz w:val="24"/>
        </w:rPr>
        <w:t>), la inflamación (</w:t>
      </w:r>
      <w:proofErr w:type="spellStart"/>
      <w:r w:rsidRPr="00CD078D">
        <w:rPr>
          <w:rFonts w:ascii="Arial" w:hAnsi="Arial" w:cs="Arial"/>
          <w:bCs/>
          <w:sz w:val="24"/>
        </w:rPr>
        <w:t>citocinas</w:t>
      </w:r>
      <w:proofErr w:type="spellEnd"/>
      <w:r w:rsidRPr="00CD078D">
        <w:rPr>
          <w:rFonts w:ascii="Arial" w:hAnsi="Arial" w:cs="Arial"/>
          <w:bCs/>
          <w:sz w:val="24"/>
        </w:rPr>
        <w:t xml:space="preserve">), la resistencia periférica a la insulina y la </w:t>
      </w:r>
      <w:proofErr w:type="spellStart"/>
      <w:r w:rsidRPr="00CD078D">
        <w:rPr>
          <w:rFonts w:ascii="Arial" w:hAnsi="Arial" w:cs="Arial"/>
          <w:bCs/>
          <w:sz w:val="24"/>
        </w:rPr>
        <w:t>hiperinsulinemia</w:t>
      </w:r>
      <w:proofErr w:type="spellEnd"/>
      <w:r w:rsidRPr="00CD078D">
        <w:rPr>
          <w:rFonts w:ascii="Arial" w:hAnsi="Arial" w:cs="Arial"/>
          <w:bCs/>
          <w:sz w:val="24"/>
        </w:rPr>
        <w:t>.</w:t>
      </w:r>
    </w:p>
    <w:p w:rsidR="00CD078D" w:rsidRPr="00CD078D" w:rsidRDefault="00CD078D" w:rsidP="00CD078D">
      <w:pPr>
        <w:jc w:val="both"/>
        <w:rPr>
          <w:rFonts w:ascii="Arial" w:hAnsi="Arial" w:cs="Arial"/>
          <w:bCs/>
          <w:sz w:val="24"/>
        </w:rPr>
      </w:pPr>
      <w:r w:rsidRPr="00CD078D">
        <w:rPr>
          <w:rFonts w:ascii="Arial" w:hAnsi="Arial" w:cs="Arial"/>
          <w:bCs/>
          <w:sz w:val="24"/>
        </w:rPr>
        <w:t xml:space="preserve">Reportes en la literatura consultada destacan como uno de los aspectos fundamentales a tener en cuenta la influencia particular de la HTA descontrolada sobre la función cognitiva. Evidencias aportadas por estudios transversales y longitudinales han mostrado asociación con la aparición de </w:t>
      </w:r>
      <w:r w:rsidRPr="00CD078D">
        <w:rPr>
          <w:rFonts w:ascii="Arial" w:hAnsi="Arial" w:cs="Arial"/>
          <w:bCs/>
          <w:sz w:val="24"/>
        </w:rPr>
        <w:lastRenderedPageBreak/>
        <w:t xml:space="preserve">demencia en la persona mayor y cifras de TA elevadas durante las edades medias de la vida en los mismos sujetos, siendo esto cierto para la PA sistólica, diastólica o para la combinación de ambas. Sin embargo, también los descensos de la </w:t>
      </w:r>
      <w:r w:rsidRPr="00CD078D">
        <w:rPr>
          <w:rFonts w:ascii="Arial" w:hAnsi="Arial" w:cs="Arial"/>
          <w:bCs/>
          <w:sz w:val="24"/>
        </w:rPr>
        <w:t>presión</w:t>
      </w:r>
      <w:r w:rsidRPr="00CD078D">
        <w:rPr>
          <w:rFonts w:ascii="Arial" w:hAnsi="Arial" w:cs="Arial"/>
          <w:bCs/>
          <w:sz w:val="24"/>
        </w:rPr>
        <w:t xml:space="preserve"> arterial se han visto relacionados con la aparición de DC y de demencia </w:t>
      </w:r>
      <w:r w:rsidRPr="00CD078D">
        <w:rPr>
          <w:rFonts w:ascii="Arial" w:hAnsi="Arial" w:cs="Arial"/>
          <w:bCs/>
          <w:sz w:val="24"/>
          <w:vertAlign w:val="superscript"/>
        </w:rPr>
        <w:t>(</w:t>
      </w:r>
      <w:r>
        <w:rPr>
          <w:rFonts w:ascii="Arial" w:hAnsi="Arial" w:cs="Arial"/>
          <w:bCs/>
          <w:sz w:val="24"/>
          <w:vertAlign w:val="superscript"/>
        </w:rPr>
        <w:t>49</w:t>
      </w:r>
      <w:r w:rsidRPr="00CD078D">
        <w:rPr>
          <w:rFonts w:ascii="Arial" w:hAnsi="Arial" w:cs="Arial"/>
          <w:bCs/>
          <w:sz w:val="24"/>
          <w:vertAlign w:val="superscript"/>
        </w:rPr>
        <w:t>),</w:t>
      </w:r>
      <w:r w:rsidRPr="00CD078D">
        <w:rPr>
          <w:rFonts w:ascii="Arial" w:hAnsi="Arial" w:cs="Arial"/>
          <w:bCs/>
          <w:sz w:val="24"/>
        </w:rPr>
        <w:t xml:space="preserve"> al parecer relacionados con la hipoperfusión y la neurodegeneración como mecanismos subyacentes que provocan un deterioro progresivo en la regulación presora de la circulación cerebral </w:t>
      </w:r>
      <w:r w:rsidRPr="00CD078D">
        <w:rPr>
          <w:rFonts w:ascii="Arial" w:hAnsi="Arial" w:cs="Arial"/>
          <w:bCs/>
          <w:sz w:val="24"/>
          <w:vertAlign w:val="superscript"/>
        </w:rPr>
        <w:t>(</w:t>
      </w:r>
      <w:r>
        <w:rPr>
          <w:rFonts w:ascii="Arial" w:hAnsi="Arial" w:cs="Arial"/>
          <w:bCs/>
          <w:sz w:val="24"/>
          <w:vertAlign w:val="superscript"/>
        </w:rPr>
        <w:t>5</w:t>
      </w:r>
      <w:r w:rsidRPr="00CD078D">
        <w:rPr>
          <w:rFonts w:ascii="Arial" w:hAnsi="Arial" w:cs="Arial"/>
          <w:bCs/>
          <w:sz w:val="24"/>
          <w:vertAlign w:val="superscript"/>
        </w:rPr>
        <w:t>0)</w:t>
      </w:r>
      <w:r w:rsidRPr="00CD078D">
        <w:rPr>
          <w:rFonts w:ascii="Arial" w:hAnsi="Arial" w:cs="Arial"/>
          <w:bCs/>
          <w:sz w:val="24"/>
        </w:rPr>
        <w:t xml:space="preserve">. Estos son elementos a tener en cuenta en la prevención desde etapas tempranas del curso de la vida, así como luego del diagnóstico de la enfermedad dada la importancia de la adecuada prescripción farmacológica, la adherencia a la misma y el empoderamiento del paciente respecto al manejo y adecuado control de su enfermedad crónica. </w:t>
      </w:r>
    </w:p>
    <w:p w:rsidR="00CD078D" w:rsidRPr="00CD078D" w:rsidRDefault="00CD078D" w:rsidP="00CD078D">
      <w:pPr>
        <w:jc w:val="both"/>
        <w:rPr>
          <w:rFonts w:ascii="Arial" w:hAnsi="Arial" w:cs="Arial"/>
          <w:bCs/>
          <w:sz w:val="24"/>
        </w:rPr>
      </w:pPr>
      <w:r w:rsidRPr="00CD078D">
        <w:rPr>
          <w:rFonts w:ascii="Arial" w:hAnsi="Arial" w:cs="Arial"/>
          <w:bCs/>
          <w:sz w:val="24"/>
        </w:rPr>
        <w:t>T</w:t>
      </w:r>
      <w:r w:rsidRPr="00CD078D">
        <w:rPr>
          <w:rFonts w:ascii="Arial" w:hAnsi="Arial" w:cs="Arial"/>
          <w:bCs/>
          <w:sz w:val="24"/>
        </w:rPr>
        <w:t xml:space="preserve">anto el antecedente de </w:t>
      </w:r>
      <w:r w:rsidRPr="00CD078D">
        <w:rPr>
          <w:rFonts w:ascii="Arial" w:hAnsi="Arial" w:cs="Arial"/>
          <w:bCs/>
          <w:sz w:val="24"/>
        </w:rPr>
        <w:t>enfermedad cerebrovascular (ECV),</w:t>
      </w:r>
      <w:r w:rsidRPr="00CD078D">
        <w:rPr>
          <w:rFonts w:ascii="Arial" w:hAnsi="Arial" w:cs="Arial"/>
          <w:bCs/>
          <w:sz w:val="24"/>
        </w:rPr>
        <w:t xml:space="preserve"> como un nuevo evento cerebrovascular se han visto asociados con el riesgo de desarrollar demencia. </w:t>
      </w:r>
    </w:p>
    <w:p w:rsidR="00CD078D" w:rsidRPr="00CD078D" w:rsidRDefault="00CD078D" w:rsidP="00CD078D">
      <w:pPr>
        <w:jc w:val="both"/>
        <w:rPr>
          <w:rFonts w:ascii="Arial" w:hAnsi="Arial" w:cs="Arial"/>
          <w:bCs/>
          <w:sz w:val="24"/>
        </w:rPr>
      </w:pPr>
      <w:r w:rsidRPr="00CD078D">
        <w:rPr>
          <w:rFonts w:ascii="Arial" w:hAnsi="Arial" w:cs="Arial"/>
          <w:bCs/>
          <w:sz w:val="24"/>
        </w:rPr>
        <w:t xml:space="preserve">Un metanálisis de seis estudios realizados en 2013 estableció que el evento cerebrovascular es un factor de riesgo moderadamente fuerte para la enfermedad de Alzheimer (EA) (cociente de riesgo (RR) = 1,59, IC del 95% = 1,25 - 2,02). En conjunto, estos estudios destacan el papel causal central del accidente cerebrovascular sintomático, más que los factores de riesgo vascular subyacentes </w:t>
      </w:r>
      <w:r w:rsidRPr="00CD078D">
        <w:rPr>
          <w:rFonts w:ascii="Arial" w:hAnsi="Arial" w:cs="Arial"/>
          <w:bCs/>
          <w:sz w:val="24"/>
          <w:vertAlign w:val="superscript"/>
        </w:rPr>
        <w:t>(</w:t>
      </w:r>
      <w:r>
        <w:rPr>
          <w:rFonts w:ascii="Arial" w:hAnsi="Arial" w:cs="Arial"/>
          <w:bCs/>
          <w:sz w:val="24"/>
          <w:vertAlign w:val="superscript"/>
        </w:rPr>
        <w:t>51</w:t>
      </w:r>
      <w:r w:rsidRPr="00CD078D">
        <w:rPr>
          <w:rFonts w:ascii="Arial" w:hAnsi="Arial" w:cs="Arial"/>
          <w:bCs/>
          <w:sz w:val="24"/>
          <w:vertAlign w:val="superscript"/>
        </w:rPr>
        <w:t>)</w:t>
      </w:r>
      <w:r w:rsidRPr="00CD078D">
        <w:rPr>
          <w:rFonts w:ascii="Arial" w:hAnsi="Arial" w:cs="Arial"/>
          <w:bCs/>
          <w:sz w:val="24"/>
        </w:rPr>
        <w:t xml:space="preserve"> (diabetes mellitus, hipertensión arterial, </w:t>
      </w:r>
      <w:proofErr w:type="spellStart"/>
      <w:r w:rsidRPr="00CD078D">
        <w:rPr>
          <w:rFonts w:ascii="Arial" w:hAnsi="Arial" w:cs="Arial"/>
          <w:bCs/>
          <w:sz w:val="24"/>
        </w:rPr>
        <w:t>dislipidemia</w:t>
      </w:r>
      <w:proofErr w:type="spellEnd"/>
      <w:r w:rsidRPr="00CD078D">
        <w:rPr>
          <w:rFonts w:ascii="Arial" w:hAnsi="Arial" w:cs="Arial"/>
          <w:bCs/>
          <w:sz w:val="24"/>
        </w:rPr>
        <w:t xml:space="preserve">, síndrome metabólico), basados en la fortaleza en la asociación de demencia post ictus y con ictus recurrentes, por lo que resaltan el efecto probable de reducir el riesgo de demencia con el cuidado óptimo del accidente cerebrovascular en su fase aguda y con </w:t>
      </w:r>
      <w:r w:rsidR="00987F54">
        <w:rPr>
          <w:rFonts w:ascii="Arial" w:hAnsi="Arial" w:cs="Arial"/>
          <w:bCs/>
          <w:sz w:val="24"/>
        </w:rPr>
        <w:t>la  prevención  secundaria</w:t>
      </w:r>
      <w:r w:rsidRPr="00CD078D">
        <w:rPr>
          <w:rFonts w:ascii="Arial" w:hAnsi="Arial" w:cs="Arial"/>
          <w:bCs/>
          <w:sz w:val="24"/>
        </w:rPr>
        <w:t>.</w:t>
      </w:r>
    </w:p>
    <w:p w:rsidR="00987F54" w:rsidRPr="00987F54" w:rsidRDefault="00987F54" w:rsidP="00987F54">
      <w:pPr>
        <w:jc w:val="both"/>
        <w:rPr>
          <w:rFonts w:ascii="Arial" w:hAnsi="Arial" w:cs="Arial"/>
          <w:bCs/>
          <w:sz w:val="24"/>
        </w:rPr>
      </w:pPr>
      <w:r>
        <w:rPr>
          <w:rFonts w:ascii="Arial" w:hAnsi="Arial" w:cs="Arial"/>
          <w:bCs/>
          <w:sz w:val="24"/>
        </w:rPr>
        <w:t>L</w:t>
      </w:r>
      <w:r w:rsidRPr="00987F54">
        <w:rPr>
          <w:rFonts w:ascii="Arial" w:hAnsi="Arial" w:cs="Arial"/>
          <w:bCs/>
          <w:sz w:val="24"/>
        </w:rPr>
        <w:t xml:space="preserve">a DM al ser causa de </w:t>
      </w:r>
      <w:proofErr w:type="spellStart"/>
      <w:r w:rsidRPr="00987F54">
        <w:rPr>
          <w:rFonts w:ascii="Arial" w:hAnsi="Arial" w:cs="Arial"/>
          <w:bCs/>
          <w:sz w:val="24"/>
        </w:rPr>
        <w:t>microangiopatía</w:t>
      </w:r>
      <w:proofErr w:type="spellEnd"/>
      <w:r w:rsidRPr="00987F54">
        <w:rPr>
          <w:rFonts w:ascii="Arial" w:hAnsi="Arial" w:cs="Arial"/>
          <w:bCs/>
          <w:sz w:val="24"/>
        </w:rPr>
        <w:t xml:space="preserve"> y arterioesclerosis, se convierte en un factor indirecto causal para el deterioro de </w:t>
      </w:r>
      <w:proofErr w:type="gramStart"/>
      <w:r w:rsidRPr="00987F54">
        <w:rPr>
          <w:rFonts w:ascii="Arial" w:hAnsi="Arial" w:cs="Arial"/>
          <w:bCs/>
          <w:sz w:val="24"/>
        </w:rPr>
        <w:t>la funciones cognoscitivas</w:t>
      </w:r>
      <w:proofErr w:type="gramEnd"/>
      <w:r w:rsidRPr="00987F54">
        <w:rPr>
          <w:rFonts w:ascii="Arial" w:hAnsi="Arial" w:cs="Arial"/>
          <w:bCs/>
          <w:sz w:val="24"/>
        </w:rPr>
        <w:t xml:space="preserve">. </w:t>
      </w:r>
      <w:proofErr w:type="spellStart"/>
      <w:r w:rsidRPr="00987F54">
        <w:rPr>
          <w:rFonts w:ascii="Arial" w:hAnsi="Arial" w:cs="Arial"/>
          <w:bCs/>
          <w:sz w:val="24"/>
        </w:rPr>
        <w:t>Rhee</w:t>
      </w:r>
      <w:proofErr w:type="spellEnd"/>
      <w:r w:rsidRPr="00987F54">
        <w:rPr>
          <w:rFonts w:ascii="Arial" w:hAnsi="Arial" w:cs="Arial"/>
          <w:bCs/>
          <w:sz w:val="24"/>
        </w:rPr>
        <w:t xml:space="preserve"> y otros autores </w:t>
      </w:r>
      <w:r w:rsidRPr="00987F54">
        <w:rPr>
          <w:rFonts w:ascii="Arial" w:hAnsi="Arial" w:cs="Arial"/>
          <w:bCs/>
          <w:sz w:val="24"/>
          <w:vertAlign w:val="superscript"/>
        </w:rPr>
        <w:t>(</w:t>
      </w:r>
      <w:r>
        <w:rPr>
          <w:rFonts w:ascii="Arial" w:hAnsi="Arial" w:cs="Arial"/>
          <w:bCs/>
          <w:sz w:val="24"/>
          <w:vertAlign w:val="superscript"/>
        </w:rPr>
        <w:t>52,53</w:t>
      </w:r>
      <w:r w:rsidRPr="00987F54">
        <w:rPr>
          <w:rFonts w:ascii="Arial" w:hAnsi="Arial" w:cs="Arial"/>
          <w:bCs/>
          <w:sz w:val="24"/>
          <w:vertAlign w:val="superscript"/>
        </w:rPr>
        <w:t>)</w:t>
      </w:r>
      <w:r w:rsidRPr="00987F54">
        <w:rPr>
          <w:rFonts w:ascii="Arial" w:hAnsi="Arial" w:cs="Arial"/>
          <w:bCs/>
          <w:sz w:val="24"/>
        </w:rPr>
        <w:t>, resaltan la importancia de la relación de los factores de riesgo cardiovascular con la arteriosclerosis y sus complicaciones, y sugieren que la DM es más frecuente entre sujetos con síndrome metabólico, lo que aumenta el riesgo para el desarrollo de enfermedad cardiovascular mayor; estos autores destacan el efecto sinérgico entre la hiperglicemia y los demás factores de riesgo cardiovascular en la morbilidad y mortalidad de los pacientes mayores diabéticos, dada su asociación con hipertensión, retinopatía como una de sus complicaciones y accidentes cerebrovasculares de índole isquémico. Esto confirma que la patología diabética puede generar una peor irrigación cerebral, lo que puede favorecer su afección  y derivar en otras patologías como podría ser la demencia. También se ha determinado que el daño cerebrovascular se asocia con el daño en la función cognitiva y la atrofia del cerebro y que la retinopatía diabética es predictiva de cambios en el cerebro que pueden aumentar el riesgo de disfunción cognitiva.</w:t>
      </w:r>
    </w:p>
    <w:p w:rsidR="00987F54" w:rsidRPr="00987F54" w:rsidRDefault="00987F54" w:rsidP="00987F54">
      <w:pPr>
        <w:jc w:val="both"/>
        <w:rPr>
          <w:rFonts w:ascii="Arial" w:hAnsi="Arial" w:cs="Arial"/>
          <w:bCs/>
          <w:sz w:val="24"/>
        </w:rPr>
      </w:pPr>
      <w:r w:rsidRPr="00987F54">
        <w:rPr>
          <w:rFonts w:ascii="Arial" w:hAnsi="Arial" w:cs="Arial"/>
          <w:bCs/>
          <w:sz w:val="24"/>
        </w:rPr>
        <w:lastRenderedPageBreak/>
        <w:t xml:space="preserve">Tanto la elevación como el descenso de la glicemia han sido postulados en la génesis de daño cerebral y por ende, cognitivo. La  hiperglucemia, signo  más  característico  de  la  DM,  se  ha relacionado con la posible afección de la memoria, la atención y el ánimo del paciente, debido principalmente a alteraciones en el flujo sanguíneo y la ósmosis a nivel neuronal. Una hiperglucemia crónica puede ocasionar y agravar enfermedades </w:t>
      </w:r>
      <w:proofErr w:type="spellStart"/>
      <w:r w:rsidRPr="00987F54">
        <w:rPr>
          <w:rFonts w:ascii="Arial" w:hAnsi="Arial" w:cs="Arial"/>
          <w:bCs/>
          <w:sz w:val="24"/>
        </w:rPr>
        <w:t>macrovasculares</w:t>
      </w:r>
      <w:proofErr w:type="spellEnd"/>
      <w:r w:rsidRPr="00987F54">
        <w:rPr>
          <w:rFonts w:ascii="Arial" w:hAnsi="Arial" w:cs="Arial"/>
          <w:bCs/>
          <w:sz w:val="24"/>
        </w:rPr>
        <w:t xml:space="preserve"> (infartos cerebrales) y </w:t>
      </w:r>
      <w:proofErr w:type="spellStart"/>
      <w:r w:rsidRPr="00987F54">
        <w:rPr>
          <w:rFonts w:ascii="Arial" w:hAnsi="Arial" w:cs="Arial"/>
          <w:bCs/>
          <w:sz w:val="24"/>
        </w:rPr>
        <w:t>microvasculares</w:t>
      </w:r>
      <w:proofErr w:type="spellEnd"/>
      <w:r w:rsidRPr="00987F54">
        <w:rPr>
          <w:rFonts w:ascii="Arial" w:hAnsi="Arial" w:cs="Arial"/>
          <w:bCs/>
          <w:sz w:val="24"/>
        </w:rPr>
        <w:t xml:space="preserve"> (retinopatías), y  aumentar  el  estrés oxidativo, la  disfunción mitocondrial  y  la  acción  de  los  productos  finales  de  la  </w:t>
      </w:r>
      <w:proofErr w:type="spellStart"/>
      <w:r w:rsidRPr="00987F54">
        <w:rPr>
          <w:rFonts w:ascii="Arial" w:hAnsi="Arial" w:cs="Arial"/>
          <w:bCs/>
          <w:sz w:val="24"/>
        </w:rPr>
        <w:t>glucosilación</w:t>
      </w:r>
      <w:proofErr w:type="spellEnd"/>
      <w:r w:rsidRPr="00987F54">
        <w:rPr>
          <w:rFonts w:ascii="Arial" w:hAnsi="Arial" w:cs="Arial"/>
          <w:bCs/>
          <w:sz w:val="24"/>
        </w:rPr>
        <w:t xml:space="preserve"> avanzada (</w:t>
      </w:r>
      <w:proofErr w:type="spellStart"/>
      <w:r w:rsidRPr="00987F54">
        <w:rPr>
          <w:rFonts w:ascii="Arial" w:hAnsi="Arial" w:cs="Arial"/>
          <w:bCs/>
          <w:sz w:val="24"/>
        </w:rPr>
        <w:t>AGEs</w:t>
      </w:r>
      <w:proofErr w:type="spellEnd"/>
      <w:r w:rsidRPr="00987F54">
        <w:rPr>
          <w:rFonts w:ascii="Arial" w:hAnsi="Arial" w:cs="Arial"/>
          <w:bCs/>
          <w:sz w:val="24"/>
        </w:rPr>
        <w:t xml:space="preserve">), causantes del daño que sufren la neuronas y que pueden desembocar en el desarrollo de demencias entre las que se encuentra  la enfermedad de Alzheimer. También se ha considerado importante su participación en la inhibición de la vía JAK/STAT3, que se trata de una vía de señalización encargada de regular la transcripción proteica y que actúa como reguladora de la génesis y proliferación de las células neuronales </w:t>
      </w:r>
      <w:r w:rsidRPr="00987F54">
        <w:rPr>
          <w:rFonts w:ascii="Arial" w:hAnsi="Arial" w:cs="Arial"/>
          <w:bCs/>
          <w:sz w:val="24"/>
          <w:vertAlign w:val="superscript"/>
        </w:rPr>
        <w:t>(</w:t>
      </w:r>
      <w:r>
        <w:rPr>
          <w:rFonts w:ascii="Arial" w:hAnsi="Arial" w:cs="Arial"/>
          <w:bCs/>
          <w:sz w:val="24"/>
          <w:vertAlign w:val="superscript"/>
        </w:rPr>
        <w:t>53</w:t>
      </w:r>
      <w:r w:rsidRPr="00987F54">
        <w:rPr>
          <w:rFonts w:ascii="Arial" w:hAnsi="Arial" w:cs="Arial"/>
          <w:bCs/>
          <w:sz w:val="24"/>
          <w:vertAlign w:val="superscript"/>
        </w:rPr>
        <w:t>)</w:t>
      </w:r>
      <w:r w:rsidRPr="00987F54">
        <w:rPr>
          <w:rFonts w:ascii="Arial" w:hAnsi="Arial" w:cs="Arial"/>
          <w:bCs/>
          <w:sz w:val="24"/>
        </w:rPr>
        <w:t>.</w:t>
      </w:r>
    </w:p>
    <w:p w:rsidR="00987F54" w:rsidRPr="00987F54" w:rsidRDefault="00987F54" w:rsidP="00987F54">
      <w:pPr>
        <w:jc w:val="both"/>
        <w:rPr>
          <w:rFonts w:ascii="Arial" w:hAnsi="Arial" w:cs="Arial"/>
          <w:bCs/>
          <w:sz w:val="24"/>
        </w:rPr>
      </w:pPr>
      <w:r w:rsidRPr="00987F54">
        <w:rPr>
          <w:rFonts w:ascii="Arial" w:hAnsi="Arial" w:cs="Arial"/>
          <w:bCs/>
          <w:sz w:val="24"/>
        </w:rPr>
        <w:t xml:space="preserve">Respecto a la hipoglicemia, el  déficit  de  glucosa  en  el  cerebro  altera  su  metabolismo  y  la  obtención  de energía por las neuronas de tal forma que éstas sufren un deterioro en su función cognitiva y en el trabajo neuronal. Además, los últimos estudios hablan de la posible existencia de un círculo vicioso ya que la hipoglucemia influye negativamente en el rendimiento cognitivo y esto puede poner  en  peligro  la  gestión  de  la  diabetes  por  parte  del  paciente,  lo  que  puede  llevar  a  la aparición de nuevos brotes </w:t>
      </w:r>
      <w:proofErr w:type="spellStart"/>
      <w:r w:rsidRPr="00987F54">
        <w:rPr>
          <w:rFonts w:ascii="Arial" w:hAnsi="Arial" w:cs="Arial"/>
          <w:bCs/>
          <w:sz w:val="24"/>
        </w:rPr>
        <w:t>hipoglucémicos</w:t>
      </w:r>
      <w:proofErr w:type="spellEnd"/>
      <w:r w:rsidRPr="00987F54">
        <w:rPr>
          <w:rFonts w:ascii="Arial" w:hAnsi="Arial" w:cs="Arial"/>
          <w:bCs/>
          <w:sz w:val="24"/>
        </w:rPr>
        <w:t xml:space="preserve"> </w:t>
      </w:r>
      <w:r w:rsidRPr="00987F54">
        <w:rPr>
          <w:rFonts w:ascii="Arial" w:hAnsi="Arial" w:cs="Arial"/>
          <w:bCs/>
          <w:sz w:val="24"/>
          <w:vertAlign w:val="superscript"/>
        </w:rPr>
        <w:t>(</w:t>
      </w:r>
      <w:r>
        <w:rPr>
          <w:rFonts w:ascii="Arial" w:hAnsi="Arial" w:cs="Arial"/>
          <w:bCs/>
          <w:sz w:val="24"/>
          <w:vertAlign w:val="superscript"/>
        </w:rPr>
        <w:t>54</w:t>
      </w:r>
      <w:r w:rsidRPr="00987F54">
        <w:rPr>
          <w:rFonts w:ascii="Arial" w:hAnsi="Arial" w:cs="Arial"/>
          <w:bCs/>
          <w:sz w:val="24"/>
          <w:vertAlign w:val="superscript"/>
        </w:rPr>
        <w:t>)</w:t>
      </w:r>
      <w:r w:rsidRPr="00987F54">
        <w:rPr>
          <w:rFonts w:ascii="Arial" w:hAnsi="Arial" w:cs="Arial"/>
          <w:bCs/>
          <w:sz w:val="24"/>
        </w:rPr>
        <w:t>.</w:t>
      </w:r>
    </w:p>
    <w:p w:rsidR="00987F54" w:rsidRPr="00987F54" w:rsidRDefault="00987F54" w:rsidP="00987F54">
      <w:pPr>
        <w:jc w:val="both"/>
        <w:rPr>
          <w:rFonts w:ascii="Arial" w:hAnsi="Arial" w:cs="Arial"/>
          <w:bCs/>
          <w:sz w:val="24"/>
        </w:rPr>
      </w:pPr>
      <w:r w:rsidRPr="00987F54">
        <w:rPr>
          <w:rFonts w:ascii="Arial" w:hAnsi="Arial" w:cs="Arial"/>
          <w:bCs/>
          <w:sz w:val="24"/>
        </w:rPr>
        <w:t xml:space="preserve">En cuanto a los estudios que evalúan la relación entre </w:t>
      </w:r>
      <w:proofErr w:type="spellStart"/>
      <w:r w:rsidRPr="00987F54">
        <w:rPr>
          <w:rFonts w:ascii="Arial" w:hAnsi="Arial" w:cs="Arial"/>
          <w:bCs/>
          <w:sz w:val="24"/>
        </w:rPr>
        <w:t>dislipidemia</w:t>
      </w:r>
      <w:proofErr w:type="spellEnd"/>
      <w:r w:rsidRPr="00987F54">
        <w:rPr>
          <w:rFonts w:ascii="Arial" w:hAnsi="Arial" w:cs="Arial"/>
          <w:bCs/>
          <w:sz w:val="24"/>
        </w:rPr>
        <w:t xml:space="preserve"> y obesidad  con deterioro cognitivo, los resultados aún son controversiales pues se conoce que aunque niveles elevados de colesterol y lípidos en general constituyen factores de riesgo para las afecciones cardiometabólicas, niveles bajos de colesterol se asocian a fragilidad y mayor riesgo de mortalidad en la persona mayor. </w:t>
      </w:r>
      <w:proofErr w:type="spellStart"/>
      <w:r w:rsidRPr="00987F54">
        <w:rPr>
          <w:rFonts w:ascii="Arial" w:hAnsi="Arial" w:cs="Arial"/>
          <w:bCs/>
          <w:sz w:val="24"/>
        </w:rPr>
        <w:t>Qizilbash</w:t>
      </w:r>
      <w:proofErr w:type="spellEnd"/>
      <w:r w:rsidRPr="00987F54">
        <w:rPr>
          <w:rFonts w:ascii="Arial" w:hAnsi="Arial" w:cs="Arial"/>
          <w:bCs/>
          <w:sz w:val="24"/>
        </w:rPr>
        <w:t xml:space="preserve"> et al. sugiere que un índice de masa corporal (IMC) alto en la edad media de la vida, aumentaría el riesgo de demencia, mientras que un IMC bajo (menor de 20) en la edad tardía, aumentaría dicho riesgo y un IMC alto sería protector en este  mismo  período. </w:t>
      </w:r>
    </w:p>
    <w:p w:rsidR="00987F54" w:rsidRPr="00987F54" w:rsidRDefault="00987F54" w:rsidP="00987F54">
      <w:pPr>
        <w:jc w:val="both"/>
        <w:rPr>
          <w:rFonts w:ascii="Arial" w:hAnsi="Arial" w:cs="Arial"/>
          <w:bCs/>
          <w:sz w:val="24"/>
        </w:rPr>
      </w:pPr>
      <w:r w:rsidRPr="00987F54">
        <w:rPr>
          <w:rFonts w:ascii="Arial" w:hAnsi="Arial" w:cs="Arial"/>
          <w:bCs/>
          <w:sz w:val="24"/>
        </w:rPr>
        <w:t xml:space="preserve">Igualmente, Bell et al. </w:t>
      </w:r>
      <w:r w:rsidRPr="00987F54">
        <w:rPr>
          <w:rFonts w:ascii="Arial" w:hAnsi="Arial" w:cs="Arial"/>
          <w:bCs/>
          <w:sz w:val="24"/>
          <w:vertAlign w:val="superscript"/>
        </w:rPr>
        <w:t>(</w:t>
      </w:r>
      <w:r>
        <w:rPr>
          <w:rFonts w:ascii="Arial" w:hAnsi="Arial" w:cs="Arial"/>
          <w:bCs/>
          <w:sz w:val="24"/>
          <w:vertAlign w:val="superscript"/>
        </w:rPr>
        <w:t>55</w:t>
      </w:r>
      <w:r w:rsidRPr="00987F54">
        <w:rPr>
          <w:rFonts w:ascii="Arial" w:hAnsi="Arial" w:cs="Arial"/>
          <w:bCs/>
          <w:sz w:val="24"/>
          <w:vertAlign w:val="superscript"/>
        </w:rPr>
        <w:t>)</w:t>
      </w:r>
      <w:r w:rsidRPr="00987F54">
        <w:rPr>
          <w:rFonts w:ascii="Arial" w:hAnsi="Arial" w:cs="Arial"/>
          <w:bCs/>
          <w:sz w:val="24"/>
        </w:rPr>
        <w:t xml:space="preserve"> sugieren que la asociación entre el IMC bajo y un mayor riesgo de demencia puede ser el resultado indirecto de una fisiopatología temprana compartida con la enfermedad de Alzheimer debido al aumento de la </w:t>
      </w:r>
      <w:proofErr w:type="spellStart"/>
      <w:r w:rsidRPr="00987F54">
        <w:rPr>
          <w:rFonts w:ascii="Arial" w:hAnsi="Arial" w:cs="Arial"/>
          <w:bCs/>
          <w:sz w:val="24"/>
        </w:rPr>
        <w:t>neuroinflamación</w:t>
      </w:r>
      <w:proofErr w:type="spellEnd"/>
      <w:r w:rsidRPr="00987F54">
        <w:rPr>
          <w:rFonts w:ascii="Arial" w:hAnsi="Arial" w:cs="Arial"/>
          <w:bCs/>
          <w:sz w:val="24"/>
        </w:rPr>
        <w:t>, la apoptosis y senescencia celular o podría representar una pérdida individual de la reserva fisiológica global.</w:t>
      </w:r>
    </w:p>
    <w:p w:rsidR="00987F54" w:rsidRPr="00987F54" w:rsidRDefault="00987F54" w:rsidP="00987F54">
      <w:pPr>
        <w:jc w:val="both"/>
        <w:rPr>
          <w:rFonts w:ascii="Arial" w:hAnsi="Arial" w:cs="Arial"/>
          <w:bCs/>
          <w:sz w:val="24"/>
        </w:rPr>
      </w:pPr>
      <w:r w:rsidRPr="00987F54">
        <w:rPr>
          <w:rFonts w:ascii="Arial" w:hAnsi="Arial" w:cs="Arial"/>
          <w:bCs/>
          <w:sz w:val="24"/>
        </w:rPr>
        <w:t xml:space="preserve">El hipotiroidismo en adultos mayores se ha asociado con deterioro de varios dominios cognitivos, incluyendo memoria, atención y concentración, lenguaje, funciones ejecutivas y función perceptual y </w:t>
      </w:r>
      <w:proofErr w:type="spellStart"/>
      <w:r w:rsidRPr="00987F54">
        <w:rPr>
          <w:rFonts w:ascii="Arial" w:hAnsi="Arial" w:cs="Arial"/>
          <w:bCs/>
          <w:sz w:val="24"/>
        </w:rPr>
        <w:t>visuoespacial</w:t>
      </w:r>
      <w:proofErr w:type="spellEnd"/>
      <w:r w:rsidRPr="00987F54">
        <w:rPr>
          <w:rFonts w:ascii="Arial" w:hAnsi="Arial" w:cs="Arial"/>
          <w:bCs/>
          <w:sz w:val="24"/>
        </w:rPr>
        <w:t xml:space="preserve">. Un mecanismo posible de asociación de disfunción tiroidea con el DC es la enfermedad </w:t>
      </w:r>
      <w:r w:rsidRPr="00987F54">
        <w:rPr>
          <w:rFonts w:ascii="Arial" w:hAnsi="Arial" w:cs="Arial"/>
          <w:bCs/>
          <w:sz w:val="24"/>
        </w:rPr>
        <w:lastRenderedPageBreak/>
        <w:t>cardiovascular, ya que están descritos tanto en el hipotiroidismo clínico y subclínico la bradicardia, descenso del llenado ventricular, reducción de la contractilidad y consumo de oxígeno, todo lo que lleva a descenso de la eyección cardiaca, existiendo además  aumento del riesgo ateroesclerótico y de la rigidez arterial, disfunción endotelial y alteración de los parámetros de la coagulación.</w:t>
      </w:r>
    </w:p>
    <w:p w:rsidR="00987F54" w:rsidRPr="00987F54" w:rsidRDefault="00987F54" w:rsidP="00987F54">
      <w:pPr>
        <w:jc w:val="both"/>
        <w:rPr>
          <w:rFonts w:ascii="Arial" w:hAnsi="Arial" w:cs="Arial"/>
          <w:bCs/>
          <w:sz w:val="24"/>
        </w:rPr>
      </w:pPr>
      <w:r w:rsidRPr="00987F54">
        <w:rPr>
          <w:rFonts w:ascii="Arial" w:hAnsi="Arial" w:cs="Arial"/>
          <w:bCs/>
          <w:sz w:val="24"/>
        </w:rPr>
        <w:t xml:space="preserve">En cuanto a la enfermedad de Parkinson, es conocida su relación con el declinar del estado cognitivo y la demencia forma parte del cuadro clínico que puede aparecer con el </w:t>
      </w:r>
      <w:proofErr w:type="spellStart"/>
      <w:r w:rsidRPr="00987F54">
        <w:rPr>
          <w:rFonts w:ascii="Arial" w:hAnsi="Arial" w:cs="Arial"/>
          <w:bCs/>
          <w:sz w:val="24"/>
        </w:rPr>
        <w:t>decursar</w:t>
      </w:r>
      <w:proofErr w:type="spellEnd"/>
      <w:r w:rsidRPr="00987F54">
        <w:rPr>
          <w:rFonts w:ascii="Arial" w:hAnsi="Arial" w:cs="Arial"/>
          <w:bCs/>
          <w:sz w:val="24"/>
        </w:rPr>
        <w:t xml:space="preserve"> de la enfermedad. En diversos estudios se ha observado que la prevalencia de demencia en los sujetos con enfermedad aumenta con la edad, siendo la prevalencia alrededor del 70 a 80% en sujetos mayores de 80 años y en aquellos con más de 20 años de evolución de la enfermedad. En otros estudios que revisaron la historia natural del Parkinson se observó que a los 10 años de evolución de la enfermedad, el 70% de los pacientes presenta características psicóticas como alucinaciones y paranoia, y después de 20 años de enfermedad, aproximadamente el 80% presentará demencia </w:t>
      </w:r>
      <w:r w:rsidRPr="006E6E33">
        <w:rPr>
          <w:rFonts w:ascii="Arial" w:hAnsi="Arial" w:cs="Arial"/>
          <w:bCs/>
          <w:sz w:val="24"/>
          <w:vertAlign w:val="superscript"/>
        </w:rPr>
        <w:t>(</w:t>
      </w:r>
      <w:r w:rsidR="006E6E33">
        <w:rPr>
          <w:rFonts w:ascii="Arial" w:hAnsi="Arial" w:cs="Arial"/>
          <w:bCs/>
          <w:sz w:val="24"/>
          <w:vertAlign w:val="superscript"/>
        </w:rPr>
        <w:t>56</w:t>
      </w:r>
      <w:r w:rsidRPr="006E6E33">
        <w:rPr>
          <w:rFonts w:ascii="Arial" w:hAnsi="Arial" w:cs="Arial"/>
          <w:bCs/>
          <w:sz w:val="24"/>
          <w:vertAlign w:val="superscript"/>
        </w:rPr>
        <w:t>)</w:t>
      </w:r>
      <w:r w:rsidRPr="00987F54">
        <w:rPr>
          <w:rFonts w:ascii="Arial" w:hAnsi="Arial" w:cs="Arial"/>
          <w:bCs/>
          <w:sz w:val="24"/>
        </w:rPr>
        <w:t>.</w:t>
      </w:r>
    </w:p>
    <w:p w:rsidR="00987F54" w:rsidRPr="00987F54" w:rsidRDefault="00987F54" w:rsidP="00987F54">
      <w:pPr>
        <w:jc w:val="both"/>
        <w:rPr>
          <w:rFonts w:ascii="Arial" w:hAnsi="Arial" w:cs="Arial"/>
          <w:bCs/>
          <w:sz w:val="24"/>
        </w:rPr>
      </w:pPr>
      <w:r w:rsidRPr="00987F54">
        <w:rPr>
          <w:rFonts w:ascii="Arial" w:hAnsi="Arial" w:cs="Arial"/>
          <w:bCs/>
          <w:sz w:val="24"/>
        </w:rPr>
        <w:t xml:space="preserve">Alrededor del 40% de las personas que sufren enfermedad de Parkinson desarrollan una demencia asociada a la enfermedad, generalmente tras 10-15 años de inicio de la misma, aunque la disfunción cognitiva puede aparecer en etapas iniciales, con afectación fundamental del funcionamiento ejecutivo, la atención, la memoria episódica, la codificación y el funcionamiento </w:t>
      </w:r>
      <w:proofErr w:type="spellStart"/>
      <w:r w:rsidRPr="00987F54">
        <w:rPr>
          <w:rFonts w:ascii="Arial" w:hAnsi="Arial" w:cs="Arial"/>
          <w:bCs/>
          <w:sz w:val="24"/>
        </w:rPr>
        <w:t>visuoespacial</w:t>
      </w:r>
      <w:proofErr w:type="spellEnd"/>
      <w:r w:rsidRPr="00987F54">
        <w:rPr>
          <w:rFonts w:ascii="Arial" w:hAnsi="Arial" w:cs="Arial"/>
          <w:bCs/>
          <w:sz w:val="24"/>
        </w:rPr>
        <w:t xml:space="preserve">. La presencia de cuerpos de </w:t>
      </w:r>
      <w:proofErr w:type="spellStart"/>
      <w:r w:rsidRPr="00987F54">
        <w:rPr>
          <w:rFonts w:ascii="Arial" w:hAnsi="Arial" w:cs="Arial"/>
          <w:bCs/>
          <w:sz w:val="24"/>
        </w:rPr>
        <w:t>Lewy</w:t>
      </w:r>
      <w:proofErr w:type="spellEnd"/>
      <w:r w:rsidRPr="00987F54">
        <w:rPr>
          <w:rFonts w:ascii="Arial" w:hAnsi="Arial" w:cs="Arial"/>
          <w:bCs/>
          <w:sz w:val="24"/>
        </w:rPr>
        <w:t xml:space="preserve"> intraneuronales, además de factores asociados a la edad avanzada (agregaciones de proteína tau y </w:t>
      </w:r>
      <w:proofErr w:type="spellStart"/>
      <w:r w:rsidRPr="00987F54">
        <w:rPr>
          <w:rFonts w:ascii="Arial" w:hAnsi="Arial" w:cs="Arial"/>
          <w:bCs/>
          <w:sz w:val="24"/>
        </w:rPr>
        <w:t>amiloide</w:t>
      </w:r>
      <w:proofErr w:type="spellEnd"/>
      <w:r w:rsidRPr="00987F54">
        <w:rPr>
          <w:rFonts w:ascii="Arial" w:hAnsi="Arial" w:cs="Arial"/>
          <w:bCs/>
          <w:sz w:val="24"/>
        </w:rPr>
        <w:t xml:space="preserve">) y ECV juegan un papel primordial, así como la disfunción de diversos sistemas de neurotransmisión, la muerte de neuronas dopaminérgicas de la sustancia nigra (A9) y en menor medida de área </w:t>
      </w:r>
      <w:proofErr w:type="spellStart"/>
      <w:r w:rsidRPr="00987F54">
        <w:rPr>
          <w:rFonts w:ascii="Arial" w:hAnsi="Arial" w:cs="Arial"/>
          <w:bCs/>
          <w:sz w:val="24"/>
        </w:rPr>
        <w:t>tegmental</w:t>
      </w:r>
      <w:proofErr w:type="spellEnd"/>
      <w:r w:rsidRPr="00987F54">
        <w:rPr>
          <w:rFonts w:ascii="Arial" w:hAnsi="Arial" w:cs="Arial"/>
          <w:bCs/>
          <w:sz w:val="24"/>
        </w:rPr>
        <w:t xml:space="preserve"> ventral (A10) ocasionan disfunción de las vías mesoestriatal, mesolímibica y </w:t>
      </w:r>
      <w:proofErr w:type="spellStart"/>
      <w:r w:rsidRPr="00987F54">
        <w:rPr>
          <w:rFonts w:ascii="Arial" w:hAnsi="Arial" w:cs="Arial"/>
          <w:bCs/>
          <w:sz w:val="24"/>
        </w:rPr>
        <w:t>mesocortical</w:t>
      </w:r>
      <w:proofErr w:type="spellEnd"/>
      <w:r w:rsidRPr="00987F54">
        <w:rPr>
          <w:rFonts w:ascii="Arial" w:hAnsi="Arial" w:cs="Arial"/>
          <w:bCs/>
          <w:sz w:val="24"/>
        </w:rPr>
        <w:t xml:space="preserve"> asociadas al control cognitivo y conductual.</w:t>
      </w:r>
    </w:p>
    <w:p w:rsidR="00987F54" w:rsidRPr="00987F54" w:rsidRDefault="00987F54" w:rsidP="00987F54">
      <w:pPr>
        <w:jc w:val="both"/>
        <w:rPr>
          <w:rFonts w:ascii="Arial" w:hAnsi="Arial" w:cs="Arial"/>
          <w:bCs/>
          <w:sz w:val="24"/>
        </w:rPr>
      </w:pPr>
      <w:proofErr w:type="spellStart"/>
      <w:r w:rsidRPr="00987F54">
        <w:rPr>
          <w:rFonts w:ascii="Arial" w:hAnsi="Arial" w:cs="Arial"/>
          <w:bCs/>
          <w:sz w:val="24"/>
        </w:rPr>
        <w:t>Caracciolo</w:t>
      </w:r>
      <w:proofErr w:type="spellEnd"/>
      <w:r w:rsidRPr="00987F54">
        <w:rPr>
          <w:rFonts w:ascii="Arial" w:hAnsi="Arial" w:cs="Arial"/>
          <w:bCs/>
          <w:sz w:val="24"/>
        </w:rPr>
        <w:t xml:space="preserve"> </w:t>
      </w:r>
      <w:r w:rsidR="006E6E33">
        <w:rPr>
          <w:rFonts w:ascii="Arial" w:hAnsi="Arial" w:cs="Arial"/>
          <w:bCs/>
          <w:sz w:val="24"/>
          <w:vertAlign w:val="superscript"/>
        </w:rPr>
        <w:t>(57</w:t>
      </w:r>
      <w:r w:rsidRPr="006E6E33">
        <w:rPr>
          <w:rFonts w:ascii="Arial" w:hAnsi="Arial" w:cs="Arial"/>
          <w:bCs/>
          <w:sz w:val="24"/>
          <w:vertAlign w:val="superscript"/>
        </w:rPr>
        <w:t>)</w:t>
      </w:r>
      <w:r w:rsidRPr="00987F54">
        <w:rPr>
          <w:rFonts w:ascii="Arial" w:hAnsi="Arial" w:cs="Arial"/>
          <w:bCs/>
          <w:sz w:val="24"/>
        </w:rPr>
        <w:t xml:space="preserve"> y colaboradores en investigación ejecutada en Suecia buscando la relación entre la comorbilidad con el deterioro cognitivo, hallaron una alta asociación entre las enfermedades crónicas y este; aún más cuando se  presentaban  con  más  de  una  condición  médica,  donde  las  enfermedades cardiovasculares y las metabólicas, principalmente diabetes, constituyeron un fuerte patrón de asociación. </w:t>
      </w:r>
    </w:p>
    <w:p w:rsidR="006E6E33" w:rsidRPr="006E6E33" w:rsidRDefault="00987F54" w:rsidP="006E6E33">
      <w:pPr>
        <w:jc w:val="both"/>
        <w:rPr>
          <w:rFonts w:ascii="Arial" w:hAnsi="Arial" w:cs="Arial"/>
          <w:bCs/>
          <w:sz w:val="24"/>
        </w:rPr>
      </w:pPr>
      <w:r w:rsidRPr="00987F54">
        <w:rPr>
          <w:rFonts w:ascii="Arial" w:hAnsi="Arial" w:cs="Arial"/>
          <w:bCs/>
          <w:sz w:val="24"/>
        </w:rPr>
        <w:t>No solamente el efecto de la coexistencia de las enfermedades ha sido atribuido en la asociación de la multimorbilidad-demencia sino que también la temporalidad de las mismas parece influir en que aparezcan los daños a nivel cognitivo</w:t>
      </w:r>
      <w:r w:rsidR="006E6E33">
        <w:rPr>
          <w:rFonts w:ascii="Arial" w:hAnsi="Arial" w:cs="Arial"/>
          <w:bCs/>
          <w:sz w:val="24"/>
        </w:rPr>
        <w:t xml:space="preserve"> </w:t>
      </w:r>
      <w:r w:rsidR="006E6E33">
        <w:rPr>
          <w:rFonts w:ascii="Arial" w:hAnsi="Arial" w:cs="Arial"/>
          <w:bCs/>
          <w:sz w:val="24"/>
          <w:vertAlign w:val="superscript"/>
        </w:rPr>
        <w:t>(58)</w:t>
      </w:r>
      <w:r w:rsidRPr="00987F54">
        <w:rPr>
          <w:rFonts w:ascii="Arial" w:hAnsi="Arial" w:cs="Arial"/>
          <w:bCs/>
          <w:sz w:val="24"/>
        </w:rPr>
        <w:t>, desde etapas subclínicas pero con efectos deletéreos a nivel cerebral</w:t>
      </w:r>
      <w:r w:rsidR="006E6E33">
        <w:rPr>
          <w:rFonts w:ascii="Arial" w:hAnsi="Arial" w:cs="Arial"/>
          <w:bCs/>
          <w:sz w:val="24"/>
        </w:rPr>
        <w:t xml:space="preserve">, así como </w:t>
      </w:r>
      <w:r w:rsidR="006E6E33" w:rsidRPr="006E6E33">
        <w:rPr>
          <w:rFonts w:ascii="Arial" w:hAnsi="Arial" w:cs="Arial"/>
          <w:bCs/>
          <w:sz w:val="24"/>
        </w:rPr>
        <w:t xml:space="preserve">las enfermedades involucradas y su interacción. Ciertas afecciones tienden a presentarse juntas o en clústeres y su impacto es </w:t>
      </w:r>
      <w:r w:rsidR="006E6E33" w:rsidRPr="006E6E33">
        <w:rPr>
          <w:rFonts w:ascii="Arial" w:hAnsi="Arial" w:cs="Arial"/>
          <w:bCs/>
          <w:sz w:val="24"/>
        </w:rPr>
        <w:lastRenderedPageBreak/>
        <w:t xml:space="preserve">entonces superior </w:t>
      </w:r>
      <w:r w:rsidR="006E6E33" w:rsidRPr="006E6E33">
        <w:rPr>
          <w:rFonts w:ascii="Arial" w:hAnsi="Arial" w:cs="Arial"/>
          <w:bCs/>
          <w:sz w:val="24"/>
          <w:vertAlign w:val="superscript"/>
        </w:rPr>
        <w:t>(</w:t>
      </w:r>
      <w:r w:rsidR="006E6E33">
        <w:rPr>
          <w:rFonts w:ascii="Arial" w:hAnsi="Arial" w:cs="Arial"/>
          <w:bCs/>
          <w:sz w:val="24"/>
          <w:vertAlign w:val="superscript"/>
        </w:rPr>
        <w:t>59,60</w:t>
      </w:r>
      <w:r w:rsidR="006E6E33" w:rsidRPr="006E6E33">
        <w:rPr>
          <w:rFonts w:ascii="Arial" w:hAnsi="Arial" w:cs="Arial"/>
          <w:bCs/>
          <w:sz w:val="24"/>
          <w:vertAlign w:val="superscript"/>
        </w:rPr>
        <w:t>)</w:t>
      </w:r>
      <w:r w:rsidR="006E6E33" w:rsidRPr="006E6E33">
        <w:rPr>
          <w:rFonts w:ascii="Arial" w:hAnsi="Arial" w:cs="Arial"/>
          <w:bCs/>
          <w:sz w:val="24"/>
        </w:rPr>
        <w:t xml:space="preserve"> como es el caso </w:t>
      </w:r>
      <w:r w:rsidR="006E6E33">
        <w:rPr>
          <w:rFonts w:ascii="Arial" w:hAnsi="Arial" w:cs="Arial"/>
          <w:bCs/>
          <w:sz w:val="24"/>
        </w:rPr>
        <w:t xml:space="preserve">de la obesidad </w:t>
      </w:r>
      <w:proofErr w:type="spellStart"/>
      <w:r w:rsidR="006E6E33">
        <w:rPr>
          <w:rFonts w:ascii="Arial" w:hAnsi="Arial" w:cs="Arial"/>
          <w:bCs/>
          <w:sz w:val="24"/>
        </w:rPr>
        <w:t>osteosarcopénica</w:t>
      </w:r>
      <w:proofErr w:type="spellEnd"/>
      <w:r w:rsidR="006E6E33">
        <w:rPr>
          <w:rFonts w:ascii="Arial" w:hAnsi="Arial" w:cs="Arial"/>
          <w:bCs/>
          <w:sz w:val="24"/>
        </w:rPr>
        <w:t xml:space="preserve">, </w:t>
      </w:r>
      <w:r w:rsidR="006E6E33" w:rsidRPr="006E6E33">
        <w:rPr>
          <w:rFonts w:ascii="Arial" w:hAnsi="Arial" w:cs="Arial"/>
          <w:bCs/>
          <w:sz w:val="24"/>
        </w:rPr>
        <w:t>enfermedades cardiovasculares y metabólicas, problemas mentales, entre otros. Algunas combinaciones de enfermedades tienen efectos particularmente adversos  en el funcionamiento; por ejemplo, la depresión presenta un efecto sinérgico agravante en combinación con la insuficiencia cardiaca, la artrosis y el deterioro cognitivo  según reportes de investigaciones.</w:t>
      </w:r>
    </w:p>
    <w:p w:rsidR="004A2878" w:rsidRDefault="004A2878" w:rsidP="002A4636">
      <w:pPr>
        <w:spacing w:after="0"/>
        <w:jc w:val="both"/>
        <w:rPr>
          <w:rFonts w:ascii="Arial" w:hAnsi="Arial" w:cs="Arial"/>
          <w:b/>
          <w:sz w:val="24"/>
          <w:szCs w:val="23"/>
          <w:lang w:val="es-MX"/>
        </w:rPr>
      </w:pPr>
    </w:p>
    <w:p w:rsidR="00412763" w:rsidRDefault="00412763" w:rsidP="002A4636">
      <w:pPr>
        <w:spacing w:after="0"/>
        <w:jc w:val="both"/>
        <w:rPr>
          <w:rFonts w:ascii="Arial" w:hAnsi="Arial" w:cs="Arial"/>
          <w:b/>
          <w:sz w:val="24"/>
          <w:szCs w:val="23"/>
          <w:lang w:val="es-MX"/>
        </w:rPr>
      </w:pPr>
      <w:r w:rsidRPr="00412763">
        <w:rPr>
          <w:rFonts w:ascii="Arial" w:hAnsi="Arial" w:cs="Arial"/>
          <w:b/>
          <w:sz w:val="24"/>
          <w:szCs w:val="23"/>
          <w:lang w:val="es-MX"/>
        </w:rPr>
        <w:t xml:space="preserve">CONCLUSIONES. </w:t>
      </w:r>
    </w:p>
    <w:p w:rsidR="00412763" w:rsidRDefault="00412763" w:rsidP="002A4636">
      <w:pPr>
        <w:spacing w:after="0"/>
        <w:jc w:val="both"/>
        <w:rPr>
          <w:rFonts w:ascii="Arial" w:hAnsi="Arial" w:cs="Arial"/>
          <w:b/>
          <w:sz w:val="24"/>
          <w:szCs w:val="23"/>
          <w:lang w:val="es-MX"/>
        </w:rPr>
      </w:pPr>
    </w:p>
    <w:p w:rsidR="004A2878" w:rsidRPr="004A2878" w:rsidRDefault="004A2878" w:rsidP="001976ED">
      <w:pPr>
        <w:jc w:val="both"/>
        <w:rPr>
          <w:rFonts w:ascii="Arial" w:hAnsi="Arial" w:cs="Arial"/>
          <w:bCs/>
          <w:sz w:val="24"/>
        </w:rPr>
      </w:pPr>
      <w:r w:rsidRPr="004A2878">
        <w:rPr>
          <w:rFonts w:ascii="Arial" w:hAnsi="Arial" w:cs="Arial"/>
          <w:bCs/>
          <w:sz w:val="24"/>
        </w:rPr>
        <w:t xml:space="preserve">Disponer de información acerca de la multimorbilidad y su implicación en el deterioro de las funciones cognitivas resulta de utilidad para definir estrategias de servicios de atención a la salud, que permitan prevenir o retardar la aparición de las complicaciones de las enfermedades crónicas que padecen las personas mayores. </w:t>
      </w:r>
    </w:p>
    <w:p w:rsidR="00412763" w:rsidRDefault="00412763" w:rsidP="00E97FC9">
      <w:pPr>
        <w:rPr>
          <w:rFonts w:ascii="Arial" w:hAnsi="Arial" w:cs="Arial"/>
          <w:sz w:val="24"/>
        </w:rPr>
      </w:pPr>
    </w:p>
    <w:p w:rsidR="001976ED" w:rsidRDefault="00412763" w:rsidP="00E97FC9">
      <w:pPr>
        <w:rPr>
          <w:rFonts w:ascii="Arial" w:hAnsi="Arial" w:cs="Arial"/>
          <w:b/>
          <w:sz w:val="24"/>
        </w:rPr>
      </w:pPr>
      <w:r w:rsidRPr="008633A5">
        <w:rPr>
          <w:rFonts w:ascii="Arial" w:hAnsi="Arial" w:cs="Arial"/>
          <w:b/>
          <w:sz w:val="24"/>
        </w:rPr>
        <w:t xml:space="preserve">REFERENCIAS BIBLIOGRÁFICAS. </w:t>
      </w:r>
    </w:p>
    <w:p w:rsidR="001976ED" w:rsidRPr="000E4CE4" w:rsidRDefault="001976ED" w:rsidP="001976ED">
      <w:pPr>
        <w:pStyle w:val="Prrafodelista"/>
        <w:numPr>
          <w:ilvl w:val="0"/>
          <w:numId w:val="13"/>
        </w:numPr>
        <w:spacing w:after="200" w:line="360" w:lineRule="auto"/>
        <w:jc w:val="both"/>
        <w:rPr>
          <w:rFonts w:ascii="Arial" w:hAnsi="Arial" w:cs="Arial"/>
          <w:lang w:val="en-US"/>
        </w:rPr>
      </w:pPr>
      <w:r w:rsidRPr="007E1472">
        <w:rPr>
          <w:rFonts w:ascii="Arial" w:hAnsi="Arial" w:cs="Arial"/>
          <w:lang w:val="en-US"/>
        </w:rPr>
        <w:t xml:space="preserve">United Nations, Department of Economic and Social Affairs, Population Division (2015). World Population Ageing 2015. </w:t>
      </w:r>
      <w:proofErr w:type="spellStart"/>
      <w:r w:rsidRPr="000E4CE4">
        <w:rPr>
          <w:rFonts w:ascii="Arial" w:hAnsi="Arial" w:cs="Arial"/>
          <w:lang w:val="en-US"/>
        </w:rPr>
        <w:t>Disponible</w:t>
      </w:r>
      <w:proofErr w:type="spellEnd"/>
      <w:r w:rsidRPr="000E4CE4">
        <w:rPr>
          <w:rFonts w:ascii="Arial" w:hAnsi="Arial" w:cs="Arial"/>
          <w:lang w:val="en-US"/>
        </w:rPr>
        <w:t xml:space="preserve"> en: </w:t>
      </w:r>
      <w:hyperlink r:id="rId12" w:history="1">
        <w:r w:rsidRPr="000E4CE4">
          <w:rPr>
            <w:rStyle w:val="Hipervnculo"/>
            <w:rFonts w:ascii="Arial" w:hAnsi="Arial" w:cs="Arial"/>
            <w:lang w:val="en-US"/>
          </w:rPr>
          <w:t>www.un.org/en/development/desa/population/.../pdf/ageing/WPA2015_Report.pdf</w:t>
        </w:r>
      </w:hyperlink>
    </w:p>
    <w:p w:rsidR="001976ED" w:rsidRDefault="001976ED" w:rsidP="001976ED">
      <w:pPr>
        <w:pStyle w:val="Prrafodelista"/>
        <w:numPr>
          <w:ilvl w:val="0"/>
          <w:numId w:val="13"/>
        </w:numPr>
        <w:spacing w:after="0" w:line="360" w:lineRule="auto"/>
        <w:jc w:val="both"/>
        <w:rPr>
          <w:rFonts w:ascii="Arial" w:hAnsi="Arial" w:cs="Arial"/>
        </w:rPr>
      </w:pPr>
      <w:r w:rsidRPr="00B779FB">
        <w:rPr>
          <w:rFonts w:ascii="Arial" w:hAnsi="Arial" w:cs="Arial"/>
        </w:rPr>
        <w:t>CEPAL  (Comisión  Económica  para A</w:t>
      </w:r>
      <w:r>
        <w:rPr>
          <w:rFonts w:ascii="Arial" w:hAnsi="Arial" w:cs="Arial"/>
        </w:rPr>
        <w:t xml:space="preserve">mérica  Latina  y  el  Caribe). </w:t>
      </w:r>
      <w:r w:rsidRPr="00B779FB">
        <w:rPr>
          <w:rFonts w:ascii="Arial" w:hAnsi="Arial" w:cs="Arial"/>
        </w:rPr>
        <w:t>“Los  impactos  de  las tendencias demográficas”, Panorama Social de América Latina, 201</w:t>
      </w:r>
      <w:r>
        <w:rPr>
          <w:rFonts w:ascii="Arial" w:hAnsi="Arial" w:cs="Arial"/>
        </w:rPr>
        <w:t>6</w:t>
      </w:r>
      <w:r w:rsidRPr="00B779FB">
        <w:rPr>
          <w:rFonts w:ascii="Arial" w:hAnsi="Arial" w:cs="Arial"/>
        </w:rPr>
        <w:t xml:space="preserve"> (LC/G.2691-P), Santiago.</w:t>
      </w:r>
    </w:p>
    <w:p w:rsidR="001976ED" w:rsidRDefault="001976ED" w:rsidP="001976ED">
      <w:pPr>
        <w:pStyle w:val="Prrafodelista"/>
        <w:numPr>
          <w:ilvl w:val="0"/>
          <w:numId w:val="13"/>
        </w:numPr>
        <w:tabs>
          <w:tab w:val="left" w:pos="426"/>
        </w:tabs>
        <w:spacing w:after="200" w:line="360" w:lineRule="auto"/>
        <w:ind w:left="426" w:hanging="426"/>
        <w:jc w:val="both"/>
        <w:rPr>
          <w:rFonts w:ascii="Arial" w:hAnsi="Arial" w:cs="Arial"/>
        </w:rPr>
      </w:pPr>
      <w:r w:rsidRPr="00C908FF">
        <w:rPr>
          <w:rFonts w:ascii="Arial" w:hAnsi="Arial" w:cs="Arial"/>
        </w:rPr>
        <w:t>Serra MA. Las enfermedades crónicas no transmisibles: una mirada actual ante el reto. Finlay [revista en Internet]. 2016 [citado 15 Abr 2017]</w:t>
      </w:r>
      <w:proofErr w:type="gramStart"/>
      <w:r w:rsidRPr="00C908FF">
        <w:rPr>
          <w:rFonts w:ascii="Arial" w:hAnsi="Arial" w:cs="Arial"/>
        </w:rPr>
        <w:t>;6</w:t>
      </w:r>
      <w:proofErr w:type="gramEnd"/>
      <w:r w:rsidRPr="00C908FF">
        <w:rPr>
          <w:rFonts w:ascii="Arial" w:hAnsi="Arial" w:cs="Arial"/>
        </w:rPr>
        <w:t xml:space="preserve">(2). Disponible en:  </w:t>
      </w:r>
      <w:hyperlink r:id="rId13" w:tgtFrame="_blank" w:history="1">
        <w:r w:rsidRPr="00C908FF">
          <w:rPr>
            <w:rStyle w:val="Hipervnculo"/>
            <w:rFonts w:ascii="Arial" w:hAnsi="Arial" w:cs="Arial"/>
          </w:rPr>
          <w:t>http://revfinlay.sld.cu/index.php/finlay/article/view/418</w:t>
        </w:r>
      </w:hyperlink>
    </w:p>
    <w:p w:rsidR="001976ED" w:rsidRDefault="001976ED" w:rsidP="001976ED">
      <w:pPr>
        <w:pStyle w:val="Prrafodelista"/>
        <w:numPr>
          <w:ilvl w:val="0"/>
          <w:numId w:val="13"/>
        </w:numPr>
        <w:spacing w:after="200" w:line="360" w:lineRule="auto"/>
        <w:jc w:val="both"/>
        <w:rPr>
          <w:rFonts w:ascii="Arial" w:hAnsi="Arial" w:cs="Arial"/>
        </w:rPr>
      </w:pPr>
      <w:r w:rsidRPr="00E947FB">
        <w:rPr>
          <w:rFonts w:ascii="Arial" w:hAnsi="Arial" w:cs="Arial"/>
        </w:rPr>
        <w:t xml:space="preserve">Organización  Mundial  de  la  Salud.  Enfermedades  no  transmisibles  [2  Dic  2016].  Accesible  en:  </w:t>
      </w:r>
      <w:hyperlink r:id="rId14" w:history="1">
        <w:r w:rsidRPr="00B24545">
          <w:rPr>
            <w:rStyle w:val="Hipervnculo"/>
            <w:rFonts w:ascii="Arial" w:hAnsi="Arial" w:cs="Arial"/>
          </w:rPr>
          <w:t>www.who.int/mediacentre/factsheets/fs355/es/</w:t>
        </w:r>
      </w:hyperlink>
    </w:p>
    <w:p w:rsidR="001976ED" w:rsidRDefault="001976ED" w:rsidP="001976ED">
      <w:pPr>
        <w:pStyle w:val="Prrafodelista"/>
        <w:numPr>
          <w:ilvl w:val="0"/>
          <w:numId w:val="13"/>
        </w:numPr>
        <w:spacing w:after="200" w:line="360" w:lineRule="auto"/>
        <w:jc w:val="both"/>
        <w:rPr>
          <w:rFonts w:ascii="Arial" w:hAnsi="Arial" w:cs="Arial"/>
        </w:rPr>
      </w:pPr>
      <w:r w:rsidRPr="00735C08">
        <w:rPr>
          <w:rFonts w:ascii="Arial" w:hAnsi="Arial" w:cs="Arial"/>
          <w:lang w:val="en-US"/>
        </w:rPr>
        <w:t xml:space="preserve">WHO 2014. Global status report on </w:t>
      </w:r>
      <w:proofErr w:type="spellStart"/>
      <w:r w:rsidRPr="00735C08">
        <w:rPr>
          <w:rFonts w:ascii="Arial" w:hAnsi="Arial" w:cs="Arial"/>
          <w:lang w:val="en-US"/>
        </w:rPr>
        <w:t>noncommunicable</w:t>
      </w:r>
      <w:proofErr w:type="spellEnd"/>
      <w:r w:rsidRPr="00735C08">
        <w:rPr>
          <w:rFonts w:ascii="Arial" w:hAnsi="Arial" w:cs="Arial"/>
          <w:lang w:val="en-US"/>
        </w:rPr>
        <w:t xml:space="preserve"> diseases [</w:t>
      </w:r>
      <w:proofErr w:type="spellStart"/>
      <w:r w:rsidRPr="00735C08">
        <w:rPr>
          <w:rFonts w:ascii="Arial" w:hAnsi="Arial" w:cs="Arial"/>
          <w:lang w:val="en-US"/>
        </w:rPr>
        <w:t>acceso</w:t>
      </w:r>
      <w:proofErr w:type="spellEnd"/>
      <w:r w:rsidRPr="00735C08">
        <w:rPr>
          <w:rFonts w:ascii="Arial" w:hAnsi="Arial" w:cs="Arial"/>
          <w:lang w:val="en-US"/>
        </w:rPr>
        <w:t xml:space="preserve"> 28 </w:t>
      </w:r>
      <w:proofErr w:type="spellStart"/>
      <w:r w:rsidRPr="00735C08">
        <w:rPr>
          <w:rFonts w:ascii="Arial" w:hAnsi="Arial" w:cs="Arial"/>
          <w:lang w:val="en-US"/>
        </w:rPr>
        <w:t>Dic</w:t>
      </w:r>
      <w:proofErr w:type="spellEnd"/>
      <w:r w:rsidRPr="00735C08">
        <w:rPr>
          <w:rFonts w:ascii="Arial" w:hAnsi="Arial" w:cs="Arial"/>
          <w:lang w:val="en-US"/>
        </w:rPr>
        <w:t xml:space="preserve"> 2016]. </w:t>
      </w:r>
      <w:r w:rsidRPr="00735C08">
        <w:rPr>
          <w:rFonts w:ascii="Arial" w:hAnsi="Arial" w:cs="Arial"/>
        </w:rPr>
        <w:t>Disponible en</w:t>
      </w:r>
      <w:r>
        <w:rPr>
          <w:rFonts w:ascii="Arial" w:hAnsi="Arial" w:cs="Arial"/>
        </w:rPr>
        <w:t>:</w:t>
      </w:r>
      <w:r w:rsidRPr="00735C08">
        <w:rPr>
          <w:rFonts w:ascii="Arial" w:hAnsi="Arial" w:cs="Arial"/>
        </w:rPr>
        <w:t xml:space="preserve"> </w:t>
      </w:r>
    </w:p>
    <w:p w:rsidR="001976ED" w:rsidRPr="00735C08" w:rsidRDefault="001976ED" w:rsidP="001976ED">
      <w:pPr>
        <w:pStyle w:val="Prrafodelista"/>
        <w:spacing w:line="360" w:lineRule="auto"/>
        <w:ind w:left="360"/>
        <w:jc w:val="both"/>
        <w:rPr>
          <w:rFonts w:ascii="Arial" w:hAnsi="Arial" w:cs="Arial"/>
        </w:rPr>
      </w:pPr>
      <w:r w:rsidRPr="00735C08">
        <w:rPr>
          <w:rFonts w:ascii="Arial" w:hAnsi="Arial" w:cs="Arial"/>
        </w:rPr>
        <w:t>http://apps.who.int/iris/bitstream/10665/148114/1/9789241564854eng.pdf?ua=1</w:t>
      </w:r>
    </w:p>
    <w:p w:rsidR="001976ED" w:rsidRPr="00CD0DF1" w:rsidRDefault="001976ED" w:rsidP="001976ED">
      <w:pPr>
        <w:pStyle w:val="Prrafodelista"/>
        <w:numPr>
          <w:ilvl w:val="0"/>
          <w:numId w:val="13"/>
        </w:numPr>
        <w:spacing w:after="200" w:line="360" w:lineRule="auto"/>
        <w:jc w:val="both"/>
        <w:rPr>
          <w:rFonts w:ascii="Arial" w:hAnsi="Arial" w:cs="Arial"/>
        </w:rPr>
      </w:pPr>
      <w:proofErr w:type="spellStart"/>
      <w:r w:rsidRPr="00CD0DF1">
        <w:rPr>
          <w:rFonts w:ascii="Arial" w:hAnsi="Arial" w:cs="Arial"/>
        </w:rPr>
        <w:t>Aranco</w:t>
      </w:r>
      <w:proofErr w:type="spellEnd"/>
      <w:r w:rsidRPr="00CD0DF1">
        <w:rPr>
          <w:rFonts w:ascii="Arial" w:hAnsi="Arial" w:cs="Arial"/>
        </w:rPr>
        <w:t xml:space="preserve"> N, </w:t>
      </w:r>
      <w:proofErr w:type="spellStart"/>
      <w:r w:rsidRPr="00CD0DF1">
        <w:rPr>
          <w:rFonts w:ascii="Arial" w:hAnsi="Arial" w:cs="Arial"/>
        </w:rPr>
        <w:t>Stampini</w:t>
      </w:r>
      <w:proofErr w:type="spellEnd"/>
      <w:r w:rsidRPr="00CD0DF1">
        <w:rPr>
          <w:rFonts w:ascii="Arial" w:hAnsi="Arial" w:cs="Arial"/>
        </w:rPr>
        <w:t xml:space="preserve"> M, </w:t>
      </w:r>
      <w:proofErr w:type="spellStart"/>
      <w:r w:rsidRPr="00CD0DF1">
        <w:rPr>
          <w:rFonts w:ascii="Arial" w:hAnsi="Arial" w:cs="Arial"/>
        </w:rPr>
        <w:t>Ibarrarán</w:t>
      </w:r>
      <w:proofErr w:type="spellEnd"/>
      <w:r w:rsidRPr="00CD0DF1">
        <w:rPr>
          <w:rFonts w:ascii="Arial" w:hAnsi="Arial" w:cs="Arial"/>
        </w:rPr>
        <w:t xml:space="preserve"> P, Medellín N. Panorama de envejecimiento y dependencia en América Latina y el Caribe. Banco Interamericano de Desarrollo. División de Protección Social y Salud.  VI. Serie. IDB-PB-273</w:t>
      </w:r>
      <w:r>
        <w:rPr>
          <w:rFonts w:ascii="Arial" w:hAnsi="Arial" w:cs="Arial"/>
        </w:rPr>
        <w:t xml:space="preserve">, 2018. </w:t>
      </w:r>
    </w:p>
    <w:p w:rsidR="001976ED" w:rsidRPr="00CD0DF1" w:rsidRDefault="001976ED" w:rsidP="001976ED">
      <w:pPr>
        <w:pStyle w:val="Prrafodelista"/>
        <w:numPr>
          <w:ilvl w:val="0"/>
          <w:numId w:val="13"/>
        </w:numPr>
        <w:spacing w:after="200" w:line="360" w:lineRule="auto"/>
        <w:jc w:val="both"/>
        <w:rPr>
          <w:rFonts w:ascii="Arial" w:hAnsi="Arial" w:cs="Arial"/>
          <w:lang w:val="en-US"/>
        </w:rPr>
      </w:pPr>
      <w:r w:rsidRPr="00CD0DF1">
        <w:rPr>
          <w:rFonts w:ascii="Arial" w:hAnsi="Arial" w:cs="Arial"/>
          <w:lang w:val="en-US"/>
        </w:rPr>
        <w:t xml:space="preserve">Hendry A, Taylor A, Mercer S, Knight P. Improving outcomes through transformational health and social care integration The Scottish experience. </w:t>
      </w:r>
      <w:proofErr w:type="spellStart"/>
      <w:r w:rsidRPr="00CD0DF1">
        <w:rPr>
          <w:rFonts w:ascii="Arial" w:hAnsi="Arial" w:cs="Arial"/>
          <w:lang w:val="en-US"/>
        </w:rPr>
        <w:t>Healthc</w:t>
      </w:r>
      <w:proofErr w:type="spellEnd"/>
      <w:r w:rsidRPr="00CD0DF1">
        <w:rPr>
          <w:rFonts w:ascii="Arial" w:hAnsi="Arial" w:cs="Arial"/>
          <w:lang w:val="en-US"/>
        </w:rPr>
        <w:t xml:space="preserve"> Q. 2016</w:t>
      </w:r>
      <w:proofErr w:type="gramStart"/>
      <w:r w:rsidRPr="00CD0DF1">
        <w:rPr>
          <w:rFonts w:ascii="Arial" w:hAnsi="Arial" w:cs="Arial"/>
          <w:lang w:val="en-US"/>
        </w:rPr>
        <w:t>;19:73</w:t>
      </w:r>
      <w:proofErr w:type="gramEnd"/>
      <w:r w:rsidRPr="00CD0DF1">
        <w:rPr>
          <w:rFonts w:ascii="Arial" w:hAnsi="Arial" w:cs="Arial"/>
          <w:lang w:val="en-US"/>
        </w:rPr>
        <w:t>-9.</w:t>
      </w:r>
    </w:p>
    <w:p w:rsidR="001976ED" w:rsidRDefault="001976ED" w:rsidP="001976ED">
      <w:pPr>
        <w:pStyle w:val="Prrafodelista"/>
        <w:numPr>
          <w:ilvl w:val="0"/>
          <w:numId w:val="13"/>
        </w:numPr>
        <w:spacing w:after="200" w:line="360" w:lineRule="auto"/>
        <w:jc w:val="both"/>
        <w:rPr>
          <w:rFonts w:ascii="Arial" w:hAnsi="Arial" w:cs="Arial"/>
          <w:lang w:val="en-US"/>
        </w:rPr>
      </w:pPr>
      <w:r>
        <w:rPr>
          <w:rFonts w:ascii="Arial" w:hAnsi="Arial" w:cs="Arial"/>
        </w:rPr>
        <w:lastRenderedPageBreak/>
        <w:t xml:space="preserve">López  MA,  Antequera  I,  Becerra VM, Orellana HN, Sánchez FJ, Morcillo </w:t>
      </w:r>
      <w:r w:rsidRPr="00472B06">
        <w:rPr>
          <w:rFonts w:ascii="Arial" w:hAnsi="Arial" w:cs="Arial"/>
        </w:rPr>
        <w:t>L,</w:t>
      </w:r>
      <w:r>
        <w:rPr>
          <w:rFonts w:ascii="Arial" w:hAnsi="Arial" w:cs="Arial"/>
        </w:rPr>
        <w:t xml:space="preserve"> </w:t>
      </w:r>
      <w:r w:rsidRPr="00472B06">
        <w:rPr>
          <w:rFonts w:ascii="Arial" w:hAnsi="Arial" w:cs="Arial"/>
        </w:rPr>
        <w:t>et</w:t>
      </w:r>
      <w:r>
        <w:rPr>
          <w:rFonts w:ascii="Arial" w:hAnsi="Arial" w:cs="Arial"/>
        </w:rPr>
        <w:t xml:space="preserve"> </w:t>
      </w:r>
      <w:r w:rsidRPr="00472B06">
        <w:rPr>
          <w:rFonts w:ascii="Arial" w:hAnsi="Arial" w:cs="Arial"/>
        </w:rPr>
        <w:t xml:space="preserve">al.   Prevalencia   de   </w:t>
      </w:r>
      <w:proofErr w:type="spellStart"/>
      <w:r w:rsidRPr="00472B06">
        <w:rPr>
          <w:rFonts w:ascii="Arial" w:hAnsi="Arial" w:cs="Arial"/>
        </w:rPr>
        <w:t>pluripatología</w:t>
      </w:r>
      <w:proofErr w:type="spellEnd"/>
      <w:r w:rsidRPr="00472B06">
        <w:rPr>
          <w:rFonts w:ascii="Arial" w:hAnsi="Arial" w:cs="Arial"/>
        </w:rPr>
        <w:t xml:space="preserve">   y   valor pronóstico  del  índice  PROFUND  en  una  unidad  de  hospitalización de Cardiología. </w:t>
      </w:r>
      <w:proofErr w:type="spellStart"/>
      <w:r w:rsidRPr="00472B06">
        <w:rPr>
          <w:rFonts w:ascii="Arial" w:hAnsi="Arial" w:cs="Arial"/>
        </w:rPr>
        <w:t>Rev</w:t>
      </w:r>
      <w:proofErr w:type="spellEnd"/>
      <w:r w:rsidRPr="00472B06">
        <w:rPr>
          <w:rFonts w:ascii="Arial" w:hAnsi="Arial" w:cs="Arial"/>
        </w:rPr>
        <w:t xml:space="preserve"> </w:t>
      </w:r>
      <w:proofErr w:type="spellStart"/>
      <w:r w:rsidRPr="00472B06">
        <w:rPr>
          <w:rFonts w:ascii="Arial" w:hAnsi="Arial" w:cs="Arial"/>
        </w:rPr>
        <w:t>Clin</w:t>
      </w:r>
      <w:proofErr w:type="spellEnd"/>
      <w:r w:rsidRPr="00472B06">
        <w:rPr>
          <w:rFonts w:ascii="Arial" w:hAnsi="Arial" w:cs="Arial"/>
        </w:rPr>
        <w:t xml:space="preserve"> Esp. 2016. </w:t>
      </w:r>
      <w:hyperlink r:id="rId15" w:history="1">
        <w:r w:rsidRPr="00817AC7">
          <w:rPr>
            <w:rStyle w:val="Hipervnculo"/>
            <w:rFonts w:ascii="Arial" w:hAnsi="Arial" w:cs="Arial"/>
          </w:rPr>
          <w:t>http://dx.doi.org/</w:t>
        </w:r>
        <w:r w:rsidRPr="00817AC7">
          <w:rPr>
            <w:rStyle w:val="Hipervnculo"/>
            <w:rFonts w:ascii="Arial" w:hAnsi="Arial" w:cs="Arial"/>
            <w:lang w:val="en-US"/>
          </w:rPr>
          <w:t>10.1016/j.rce.2016.10.007</w:t>
        </w:r>
      </w:hyperlink>
      <w:r>
        <w:rPr>
          <w:rFonts w:ascii="Arial" w:hAnsi="Arial" w:cs="Arial"/>
          <w:lang w:val="en-US"/>
        </w:rPr>
        <w:t>.</w:t>
      </w:r>
    </w:p>
    <w:p w:rsidR="001976ED" w:rsidRDefault="001976ED" w:rsidP="001976ED">
      <w:pPr>
        <w:pStyle w:val="Prrafodelista"/>
        <w:numPr>
          <w:ilvl w:val="0"/>
          <w:numId w:val="13"/>
        </w:numPr>
        <w:spacing w:after="200" w:line="360" w:lineRule="auto"/>
        <w:jc w:val="both"/>
        <w:rPr>
          <w:rFonts w:ascii="Arial" w:hAnsi="Arial" w:cs="Arial"/>
          <w:lang w:val="en-US"/>
        </w:rPr>
      </w:pPr>
      <w:r w:rsidRPr="00BA7045">
        <w:rPr>
          <w:rFonts w:ascii="Arial" w:hAnsi="Arial" w:cs="Arial"/>
          <w:lang w:val="en-US"/>
        </w:rPr>
        <w:t xml:space="preserve">Barnett K, Mercer SW, </w:t>
      </w:r>
      <w:proofErr w:type="spellStart"/>
      <w:r w:rsidRPr="00BA7045">
        <w:rPr>
          <w:rFonts w:ascii="Arial" w:hAnsi="Arial" w:cs="Arial"/>
          <w:lang w:val="en-US"/>
        </w:rPr>
        <w:t>Norbury</w:t>
      </w:r>
      <w:proofErr w:type="spellEnd"/>
      <w:r w:rsidRPr="00BA7045">
        <w:rPr>
          <w:rFonts w:ascii="Arial" w:hAnsi="Arial" w:cs="Arial"/>
          <w:lang w:val="en-US"/>
        </w:rPr>
        <w:t xml:space="preserve"> M, Watt G, </w:t>
      </w:r>
      <w:proofErr w:type="spellStart"/>
      <w:r w:rsidRPr="00BA7045">
        <w:rPr>
          <w:rFonts w:ascii="Arial" w:hAnsi="Arial" w:cs="Arial"/>
          <w:lang w:val="en-US"/>
        </w:rPr>
        <w:t>Wyke</w:t>
      </w:r>
      <w:proofErr w:type="spellEnd"/>
      <w:r w:rsidRPr="00BA7045">
        <w:rPr>
          <w:rFonts w:ascii="Arial" w:hAnsi="Arial" w:cs="Arial"/>
          <w:lang w:val="en-US"/>
        </w:rPr>
        <w:t xml:space="preserve"> S, Guthrie B. Epidemiology of </w:t>
      </w:r>
      <w:proofErr w:type="spellStart"/>
      <w:r w:rsidRPr="00BA7045">
        <w:rPr>
          <w:rFonts w:ascii="Arial" w:hAnsi="Arial" w:cs="Arial"/>
          <w:lang w:val="en-US"/>
        </w:rPr>
        <w:t>multimorbidity</w:t>
      </w:r>
      <w:proofErr w:type="spellEnd"/>
      <w:r w:rsidRPr="00BA7045">
        <w:rPr>
          <w:rFonts w:ascii="Arial" w:hAnsi="Arial" w:cs="Arial"/>
          <w:lang w:val="en-US"/>
        </w:rPr>
        <w:t xml:space="preserve"> and implications for health care, research, and medical education: A cross-sectional study. Lancet. 2012</w:t>
      </w:r>
      <w:proofErr w:type="gramStart"/>
      <w:r w:rsidRPr="00BA7045">
        <w:rPr>
          <w:rFonts w:ascii="Arial" w:hAnsi="Arial" w:cs="Arial"/>
          <w:lang w:val="en-US"/>
        </w:rPr>
        <w:t>;380:37</w:t>
      </w:r>
      <w:proofErr w:type="gramEnd"/>
      <w:r w:rsidRPr="00BA7045">
        <w:rPr>
          <w:rFonts w:ascii="Arial" w:hAnsi="Arial" w:cs="Arial"/>
          <w:lang w:val="en-US"/>
        </w:rPr>
        <w:t>-43.</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proofErr w:type="gramStart"/>
      <w:r w:rsidRPr="004F156C">
        <w:rPr>
          <w:rFonts w:ascii="Arial" w:hAnsi="Arial" w:cs="Arial"/>
          <w:lang w:val="en-US"/>
        </w:rPr>
        <w:t>Tinetti</w:t>
      </w:r>
      <w:proofErr w:type="spellEnd"/>
      <w:r w:rsidRPr="004F156C">
        <w:rPr>
          <w:rFonts w:ascii="Arial" w:hAnsi="Arial" w:cs="Arial"/>
          <w:lang w:val="en-US"/>
        </w:rPr>
        <w:t xml:space="preserve">  ME</w:t>
      </w:r>
      <w:proofErr w:type="gramEnd"/>
      <w:r w:rsidRPr="004F156C">
        <w:rPr>
          <w:rFonts w:ascii="Arial" w:hAnsi="Arial" w:cs="Arial"/>
          <w:lang w:val="en-US"/>
        </w:rPr>
        <w:t xml:space="preserve">,  Fried  TR,  Boyd  CM.  </w:t>
      </w:r>
      <w:proofErr w:type="gramStart"/>
      <w:r w:rsidRPr="004F156C">
        <w:rPr>
          <w:rFonts w:ascii="Arial" w:hAnsi="Arial" w:cs="Arial"/>
          <w:lang w:val="en-US"/>
        </w:rPr>
        <w:t>Designing  health</w:t>
      </w:r>
      <w:proofErr w:type="gramEnd"/>
      <w:r w:rsidRPr="004F156C">
        <w:rPr>
          <w:rFonts w:ascii="Arial" w:hAnsi="Arial" w:cs="Arial"/>
          <w:lang w:val="en-US"/>
        </w:rPr>
        <w:t xml:space="preserve">  care  for the  most  common  chronic  condition-</w:t>
      </w:r>
      <w:proofErr w:type="spellStart"/>
      <w:r w:rsidRPr="004F156C">
        <w:rPr>
          <w:rFonts w:ascii="Arial" w:hAnsi="Arial" w:cs="Arial"/>
          <w:lang w:val="en-US"/>
        </w:rPr>
        <w:t>multimorbidity</w:t>
      </w:r>
      <w:proofErr w:type="spellEnd"/>
      <w:r w:rsidRPr="004F156C">
        <w:rPr>
          <w:rFonts w:ascii="Arial" w:hAnsi="Arial" w:cs="Arial"/>
          <w:lang w:val="en-US"/>
        </w:rPr>
        <w:t xml:space="preserve">.  JAMA. </w:t>
      </w:r>
      <w:r>
        <w:rPr>
          <w:rFonts w:ascii="Arial" w:hAnsi="Arial" w:cs="Arial"/>
          <w:lang w:val="en-US"/>
        </w:rPr>
        <w:t>2012</w:t>
      </w:r>
      <w:proofErr w:type="gramStart"/>
      <w:r>
        <w:rPr>
          <w:rFonts w:ascii="Arial" w:hAnsi="Arial" w:cs="Arial"/>
          <w:lang w:val="en-US"/>
        </w:rPr>
        <w:t>;307:2493</w:t>
      </w:r>
      <w:proofErr w:type="gramEnd"/>
      <w:r>
        <w:rPr>
          <w:rFonts w:ascii="Arial" w:hAnsi="Arial" w:cs="Arial"/>
          <w:lang w:val="en-US"/>
        </w:rPr>
        <w:t>-</w:t>
      </w:r>
      <w:r w:rsidRPr="004F156C">
        <w:rPr>
          <w:rFonts w:ascii="Arial" w:hAnsi="Arial" w:cs="Arial"/>
          <w:lang w:val="en-US"/>
        </w:rPr>
        <w:t>4.</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r>
        <w:rPr>
          <w:rFonts w:ascii="Arial" w:hAnsi="Arial" w:cs="Arial"/>
          <w:lang w:val="en-US"/>
        </w:rPr>
        <w:t>Fabbri</w:t>
      </w:r>
      <w:proofErr w:type="spellEnd"/>
      <w:r>
        <w:rPr>
          <w:rFonts w:ascii="Arial" w:hAnsi="Arial" w:cs="Arial"/>
          <w:lang w:val="en-US"/>
        </w:rPr>
        <w:t xml:space="preserve"> E, </w:t>
      </w:r>
      <w:proofErr w:type="spellStart"/>
      <w:r>
        <w:rPr>
          <w:rFonts w:ascii="Arial" w:hAnsi="Arial" w:cs="Arial"/>
          <w:lang w:val="en-US"/>
        </w:rPr>
        <w:t>Zoli</w:t>
      </w:r>
      <w:proofErr w:type="spellEnd"/>
      <w:r>
        <w:rPr>
          <w:rFonts w:ascii="Arial" w:hAnsi="Arial" w:cs="Arial"/>
          <w:lang w:val="en-US"/>
        </w:rPr>
        <w:t xml:space="preserve"> M, Gonzál</w:t>
      </w:r>
      <w:r w:rsidRPr="00B917DB">
        <w:rPr>
          <w:rFonts w:ascii="Arial" w:hAnsi="Arial" w:cs="Arial"/>
          <w:lang w:val="en-US"/>
        </w:rPr>
        <w:t>ez-</w:t>
      </w:r>
      <w:proofErr w:type="spellStart"/>
      <w:r w:rsidRPr="00B917DB">
        <w:rPr>
          <w:rFonts w:ascii="Arial" w:hAnsi="Arial" w:cs="Arial"/>
          <w:lang w:val="en-US"/>
        </w:rPr>
        <w:t>Freire</w:t>
      </w:r>
      <w:proofErr w:type="spellEnd"/>
      <w:r w:rsidRPr="00B917DB">
        <w:rPr>
          <w:rFonts w:ascii="Arial" w:hAnsi="Arial" w:cs="Arial"/>
          <w:lang w:val="en-US"/>
        </w:rPr>
        <w:t xml:space="preserve"> M, </w:t>
      </w:r>
      <w:proofErr w:type="spellStart"/>
      <w:r w:rsidRPr="00B917DB">
        <w:rPr>
          <w:rFonts w:ascii="Arial" w:hAnsi="Arial" w:cs="Arial"/>
          <w:lang w:val="en-US"/>
        </w:rPr>
        <w:t>Salive</w:t>
      </w:r>
      <w:proofErr w:type="spellEnd"/>
      <w:r w:rsidRPr="00B917DB">
        <w:rPr>
          <w:rFonts w:ascii="Arial" w:hAnsi="Arial" w:cs="Arial"/>
          <w:lang w:val="en-US"/>
        </w:rPr>
        <w:t xml:space="preserve"> ME, </w:t>
      </w:r>
      <w:proofErr w:type="spellStart"/>
      <w:r w:rsidRPr="00B917DB">
        <w:rPr>
          <w:rFonts w:ascii="Arial" w:hAnsi="Arial" w:cs="Arial"/>
          <w:lang w:val="en-US"/>
        </w:rPr>
        <w:t>Studenski</w:t>
      </w:r>
      <w:proofErr w:type="spellEnd"/>
      <w:r w:rsidRPr="00B917DB">
        <w:rPr>
          <w:rFonts w:ascii="Arial" w:hAnsi="Arial" w:cs="Arial"/>
          <w:lang w:val="en-US"/>
        </w:rPr>
        <w:t xml:space="preserve"> SA, </w:t>
      </w:r>
      <w:proofErr w:type="spellStart"/>
      <w:r w:rsidRPr="00B917DB">
        <w:rPr>
          <w:rFonts w:ascii="Arial" w:hAnsi="Arial" w:cs="Arial"/>
          <w:lang w:val="en-US"/>
        </w:rPr>
        <w:t>Ferrucci</w:t>
      </w:r>
      <w:proofErr w:type="spellEnd"/>
      <w:r w:rsidRPr="00B917DB">
        <w:rPr>
          <w:rFonts w:ascii="Arial" w:hAnsi="Arial" w:cs="Arial"/>
          <w:lang w:val="en-US"/>
        </w:rPr>
        <w:t xml:space="preserve"> L. Aging and </w:t>
      </w:r>
      <w:proofErr w:type="spellStart"/>
      <w:r w:rsidRPr="00B917DB">
        <w:rPr>
          <w:rFonts w:ascii="Arial" w:hAnsi="Arial" w:cs="Arial"/>
          <w:lang w:val="en-US"/>
        </w:rPr>
        <w:t>multimorbidity</w:t>
      </w:r>
      <w:proofErr w:type="spellEnd"/>
      <w:r w:rsidRPr="00B917DB">
        <w:rPr>
          <w:rFonts w:ascii="Arial" w:hAnsi="Arial" w:cs="Arial"/>
          <w:lang w:val="en-US"/>
        </w:rPr>
        <w:t xml:space="preserve">: New tasks, priorities, and frontiers for integrated </w:t>
      </w:r>
      <w:proofErr w:type="spellStart"/>
      <w:r w:rsidRPr="00B917DB">
        <w:rPr>
          <w:rFonts w:ascii="Arial" w:hAnsi="Arial" w:cs="Arial"/>
          <w:lang w:val="en-US"/>
        </w:rPr>
        <w:t>gerontological</w:t>
      </w:r>
      <w:proofErr w:type="spellEnd"/>
      <w:r w:rsidRPr="00B917DB">
        <w:rPr>
          <w:rFonts w:ascii="Arial" w:hAnsi="Arial" w:cs="Arial"/>
          <w:lang w:val="en-US"/>
        </w:rPr>
        <w:t xml:space="preserve"> and clinical research. J Am Med </w:t>
      </w:r>
      <w:proofErr w:type="spellStart"/>
      <w:r w:rsidRPr="00B917DB">
        <w:rPr>
          <w:rFonts w:ascii="Arial" w:hAnsi="Arial" w:cs="Arial"/>
          <w:lang w:val="en-US"/>
        </w:rPr>
        <w:t>Dir</w:t>
      </w:r>
      <w:proofErr w:type="spellEnd"/>
      <w:r w:rsidRPr="00B917DB">
        <w:rPr>
          <w:rFonts w:ascii="Arial" w:hAnsi="Arial" w:cs="Arial"/>
          <w:lang w:val="en-US"/>
        </w:rPr>
        <w:t xml:space="preserve"> Assoc. 2015</w:t>
      </w:r>
      <w:proofErr w:type="gramStart"/>
      <w:r w:rsidRPr="00B917DB">
        <w:rPr>
          <w:rFonts w:ascii="Arial" w:hAnsi="Arial" w:cs="Arial"/>
          <w:lang w:val="en-US"/>
        </w:rPr>
        <w:t>;16:640</w:t>
      </w:r>
      <w:proofErr w:type="gramEnd"/>
      <w:r w:rsidRPr="00B917DB">
        <w:rPr>
          <w:rFonts w:ascii="Arial" w:hAnsi="Arial" w:cs="Arial"/>
          <w:lang w:val="en-US"/>
        </w:rPr>
        <w:t>-7.</w:t>
      </w:r>
    </w:p>
    <w:p w:rsidR="001976ED" w:rsidRDefault="001976ED" w:rsidP="001976ED">
      <w:pPr>
        <w:pStyle w:val="Prrafodelista"/>
        <w:numPr>
          <w:ilvl w:val="0"/>
          <w:numId w:val="13"/>
        </w:numPr>
        <w:spacing w:after="200" w:line="360" w:lineRule="auto"/>
        <w:jc w:val="both"/>
        <w:rPr>
          <w:rFonts w:ascii="Arial" w:hAnsi="Arial" w:cs="Arial"/>
        </w:rPr>
      </w:pPr>
      <w:r w:rsidRPr="006949BC">
        <w:rPr>
          <w:rFonts w:ascii="Arial" w:hAnsi="Arial" w:cs="Arial"/>
        </w:rPr>
        <w:t xml:space="preserve">Román P, Ruíz Cantero A. La </w:t>
      </w:r>
      <w:proofErr w:type="spellStart"/>
      <w:r w:rsidRPr="006949BC">
        <w:rPr>
          <w:rFonts w:ascii="Arial" w:hAnsi="Arial" w:cs="Arial"/>
        </w:rPr>
        <w:t>pluripatología</w:t>
      </w:r>
      <w:proofErr w:type="spellEnd"/>
      <w:r w:rsidRPr="006949BC">
        <w:rPr>
          <w:rFonts w:ascii="Arial" w:hAnsi="Arial" w:cs="Arial"/>
        </w:rPr>
        <w:t>, un fenómeno emergente y un reto para los sistemas sanitarios</w:t>
      </w:r>
      <w:r>
        <w:rPr>
          <w:rFonts w:ascii="Arial" w:hAnsi="Arial" w:cs="Arial"/>
        </w:rPr>
        <w:t xml:space="preserve">. </w:t>
      </w:r>
      <w:proofErr w:type="spellStart"/>
      <w:r>
        <w:rPr>
          <w:rFonts w:ascii="Arial" w:hAnsi="Arial" w:cs="Arial"/>
        </w:rPr>
        <w:t>Rev</w:t>
      </w:r>
      <w:proofErr w:type="spellEnd"/>
      <w:r>
        <w:rPr>
          <w:rFonts w:ascii="Arial" w:hAnsi="Arial" w:cs="Arial"/>
        </w:rPr>
        <w:t xml:space="preserve"> </w:t>
      </w:r>
      <w:proofErr w:type="spellStart"/>
      <w:r>
        <w:rPr>
          <w:rFonts w:ascii="Arial" w:hAnsi="Arial" w:cs="Arial"/>
        </w:rPr>
        <w:t>Clin</w:t>
      </w:r>
      <w:proofErr w:type="spellEnd"/>
      <w:r>
        <w:rPr>
          <w:rFonts w:ascii="Arial" w:hAnsi="Arial" w:cs="Arial"/>
        </w:rPr>
        <w:t xml:space="preserve"> Esp. 2017</w:t>
      </w:r>
      <w:proofErr w:type="gramStart"/>
      <w:r>
        <w:rPr>
          <w:rFonts w:ascii="Arial" w:hAnsi="Arial" w:cs="Arial"/>
        </w:rPr>
        <w:t>;217</w:t>
      </w:r>
      <w:proofErr w:type="gramEnd"/>
      <w:r>
        <w:rPr>
          <w:rFonts w:ascii="Arial" w:hAnsi="Arial" w:cs="Arial"/>
        </w:rPr>
        <w:t>(4):229-</w:t>
      </w:r>
      <w:r w:rsidRPr="006949BC">
        <w:rPr>
          <w:rFonts w:ascii="Arial" w:hAnsi="Arial" w:cs="Arial"/>
        </w:rPr>
        <w:t>237</w:t>
      </w:r>
      <w:r>
        <w:rPr>
          <w:rFonts w:ascii="Arial" w:hAnsi="Arial" w:cs="Arial"/>
        </w:rPr>
        <w:t>.</w:t>
      </w:r>
    </w:p>
    <w:p w:rsidR="001976ED" w:rsidRDefault="001976ED" w:rsidP="001976ED">
      <w:pPr>
        <w:pStyle w:val="Prrafodelista"/>
        <w:numPr>
          <w:ilvl w:val="0"/>
          <w:numId w:val="13"/>
        </w:numPr>
        <w:spacing w:after="200" w:line="360" w:lineRule="auto"/>
        <w:jc w:val="both"/>
        <w:rPr>
          <w:rFonts w:ascii="Arial" w:hAnsi="Arial" w:cs="Arial"/>
        </w:rPr>
      </w:pPr>
      <w:r w:rsidRPr="00B541A9">
        <w:rPr>
          <w:rFonts w:ascii="Arial" w:hAnsi="Arial" w:cs="Arial"/>
        </w:rPr>
        <w:t xml:space="preserve">Prados Torres  A,  Calderón Larrañaga  A,  </w:t>
      </w:r>
      <w:proofErr w:type="spellStart"/>
      <w:r w:rsidRPr="00B541A9">
        <w:rPr>
          <w:rFonts w:ascii="Arial" w:hAnsi="Arial" w:cs="Arial"/>
        </w:rPr>
        <w:t>Hancco</w:t>
      </w:r>
      <w:proofErr w:type="spellEnd"/>
      <w:r w:rsidRPr="00B541A9">
        <w:rPr>
          <w:rFonts w:ascii="Arial" w:hAnsi="Arial" w:cs="Arial"/>
        </w:rPr>
        <w:t xml:space="preserve"> Saavedra  J, Poblador </w:t>
      </w:r>
      <w:proofErr w:type="spellStart"/>
      <w:r w:rsidRPr="00B541A9">
        <w:rPr>
          <w:rFonts w:ascii="Arial" w:hAnsi="Arial" w:cs="Arial"/>
        </w:rPr>
        <w:t>Plou</w:t>
      </w:r>
      <w:proofErr w:type="spellEnd"/>
      <w:r w:rsidRPr="00B541A9">
        <w:rPr>
          <w:rFonts w:ascii="Arial" w:hAnsi="Arial" w:cs="Arial"/>
        </w:rPr>
        <w:t xml:space="preserve">  B,  van  den  </w:t>
      </w:r>
      <w:proofErr w:type="spellStart"/>
      <w:r w:rsidRPr="00B541A9">
        <w:rPr>
          <w:rFonts w:ascii="Arial" w:hAnsi="Arial" w:cs="Arial"/>
        </w:rPr>
        <w:t>Akker</w:t>
      </w:r>
      <w:proofErr w:type="spellEnd"/>
      <w:r w:rsidRPr="00B541A9">
        <w:rPr>
          <w:rFonts w:ascii="Arial" w:hAnsi="Arial" w:cs="Arial"/>
        </w:rPr>
        <w:t xml:space="preserve">  M.  </w:t>
      </w:r>
      <w:proofErr w:type="spellStart"/>
      <w:r w:rsidRPr="00B541A9">
        <w:rPr>
          <w:rFonts w:ascii="Arial" w:hAnsi="Arial" w:cs="Arial"/>
        </w:rPr>
        <w:t>Multimorbidity</w:t>
      </w:r>
      <w:proofErr w:type="spellEnd"/>
      <w:r w:rsidRPr="00B541A9">
        <w:rPr>
          <w:rFonts w:ascii="Arial" w:hAnsi="Arial" w:cs="Arial"/>
        </w:rPr>
        <w:t xml:space="preserve">  </w:t>
      </w:r>
      <w:proofErr w:type="spellStart"/>
      <w:r w:rsidRPr="00B541A9">
        <w:rPr>
          <w:rFonts w:ascii="Arial" w:hAnsi="Arial" w:cs="Arial"/>
        </w:rPr>
        <w:t>patterns</w:t>
      </w:r>
      <w:proofErr w:type="spellEnd"/>
      <w:r w:rsidRPr="00B541A9">
        <w:rPr>
          <w:rFonts w:ascii="Arial" w:hAnsi="Arial" w:cs="Arial"/>
        </w:rPr>
        <w:t xml:space="preserve">: </w:t>
      </w:r>
      <w:r w:rsidRPr="0058103E">
        <w:rPr>
          <w:rFonts w:ascii="Arial" w:hAnsi="Arial" w:cs="Arial"/>
        </w:rPr>
        <w:t xml:space="preserve">A </w:t>
      </w:r>
      <w:proofErr w:type="spellStart"/>
      <w:r w:rsidRPr="0058103E">
        <w:rPr>
          <w:rFonts w:ascii="Arial" w:hAnsi="Arial" w:cs="Arial"/>
        </w:rPr>
        <w:t>systematic</w:t>
      </w:r>
      <w:proofErr w:type="spellEnd"/>
      <w:r w:rsidRPr="0058103E">
        <w:rPr>
          <w:rFonts w:ascii="Arial" w:hAnsi="Arial" w:cs="Arial"/>
        </w:rPr>
        <w:t xml:space="preserve"> </w:t>
      </w:r>
      <w:proofErr w:type="spellStart"/>
      <w:r w:rsidRPr="0058103E">
        <w:rPr>
          <w:rFonts w:ascii="Arial" w:hAnsi="Arial" w:cs="Arial"/>
        </w:rPr>
        <w:t>review</w:t>
      </w:r>
      <w:proofErr w:type="spellEnd"/>
      <w:r w:rsidRPr="0058103E">
        <w:rPr>
          <w:rFonts w:ascii="Arial" w:hAnsi="Arial" w:cs="Arial"/>
        </w:rPr>
        <w:t xml:space="preserve">. </w:t>
      </w:r>
      <w:r w:rsidRPr="00B541A9">
        <w:rPr>
          <w:rFonts w:ascii="Arial" w:hAnsi="Arial" w:cs="Arial"/>
          <w:lang w:val="en-US"/>
        </w:rPr>
        <w:t xml:space="preserve">J </w:t>
      </w:r>
      <w:proofErr w:type="spellStart"/>
      <w:r w:rsidRPr="00B541A9">
        <w:rPr>
          <w:rFonts w:ascii="Arial" w:hAnsi="Arial" w:cs="Arial"/>
          <w:lang w:val="en-US"/>
        </w:rPr>
        <w:t>Clin</w:t>
      </w:r>
      <w:proofErr w:type="spellEnd"/>
      <w:r w:rsidRPr="00B541A9">
        <w:rPr>
          <w:rFonts w:ascii="Arial" w:hAnsi="Arial" w:cs="Arial"/>
          <w:lang w:val="en-US"/>
        </w:rPr>
        <w:t xml:space="preserve"> </w:t>
      </w:r>
      <w:proofErr w:type="spellStart"/>
      <w:r w:rsidRPr="00B541A9">
        <w:rPr>
          <w:rFonts w:ascii="Arial" w:hAnsi="Arial" w:cs="Arial"/>
          <w:lang w:val="en-US"/>
        </w:rPr>
        <w:t>Epidemiol</w:t>
      </w:r>
      <w:proofErr w:type="spellEnd"/>
      <w:r w:rsidRPr="00B541A9">
        <w:rPr>
          <w:rFonts w:ascii="Arial" w:hAnsi="Arial" w:cs="Arial"/>
          <w:lang w:val="en-US"/>
        </w:rPr>
        <w:t xml:space="preserve">. </w:t>
      </w:r>
      <w:r>
        <w:rPr>
          <w:rFonts w:ascii="Arial" w:hAnsi="Arial" w:cs="Arial"/>
        </w:rPr>
        <w:t>2015</w:t>
      </w:r>
      <w:proofErr w:type="gramStart"/>
      <w:r>
        <w:rPr>
          <w:rFonts w:ascii="Arial" w:hAnsi="Arial" w:cs="Arial"/>
        </w:rPr>
        <w:t>;67:254</w:t>
      </w:r>
      <w:proofErr w:type="gramEnd"/>
      <w:r w:rsidRPr="00B541A9">
        <w:rPr>
          <w:rFonts w:ascii="Arial" w:hAnsi="Arial" w:cs="Arial"/>
        </w:rPr>
        <w:t>-66.</w:t>
      </w:r>
    </w:p>
    <w:p w:rsidR="001976ED" w:rsidRDefault="001976ED" w:rsidP="001976ED">
      <w:pPr>
        <w:pStyle w:val="Prrafodelista"/>
        <w:numPr>
          <w:ilvl w:val="0"/>
          <w:numId w:val="13"/>
        </w:numPr>
        <w:spacing w:after="200" w:line="360" w:lineRule="auto"/>
        <w:jc w:val="both"/>
        <w:rPr>
          <w:rFonts w:ascii="Arial" w:hAnsi="Arial" w:cs="Arial"/>
          <w:lang w:val="en-US"/>
        </w:rPr>
      </w:pPr>
      <w:r w:rsidRPr="008B2BC8">
        <w:rPr>
          <w:rFonts w:ascii="Arial" w:hAnsi="Arial" w:cs="Arial"/>
          <w:lang w:val="en-US"/>
        </w:rPr>
        <w:t xml:space="preserve">Van </w:t>
      </w:r>
      <w:proofErr w:type="spellStart"/>
      <w:r w:rsidRPr="008B2BC8">
        <w:rPr>
          <w:rFonts w:ascii="Arial" w:hAnsi="Arial" w:cs="Arial"/>
          <w:lang w:val="en-US"/>
        </w:rPr>
        <w:t>Oostrom</w:t>
      </w:r>
      <w:proofErr w:type="spellEnd"/>
      <w:r w:rsidRPr="008B2BC8">
        <w:rPr>
          <w:rFonts w:ascii="Arial" w:hAnsi="Arial" w:cs="Arial"/>
          <w:lang w:val="en-US"/>
        </w:rPr>
        <w:t xml:space="preserve"> SH, </w:t>
      </w:r>
      <w:proofErr w:type="spellStart"/>
      <w:r w:rsidRPr="008B2BC8">
        <w:rPr>
          <w:rFonts w:ascii="Arial" w:hAnsi="Arial" w:cs="Arial"/>
          <w:lang w:val="en-US"/>
        </w:rPr>
        <w:t>Gijsen</w:t>
      </w:r>
      <w:proofErr w:type="spellEnd"/>
      <w:r w:rsidRPr="008B2BC8">
        <w:rPr>
          <w:rFonts w:ascii="Arial" w:hAnsi="Arial" w:cs="Arial"/>
          <w:lang w:val="en-US"/>
        </w:rPr>
        <w:t xml:space="preserve"> R, </w:t>
      </w:r>
      <w:proofErr w:type="spellStart"/>
      <w:r w:rsidRPr="008B2BC8">
        <w:rPr>
          <w:rFonts w:ascii="Arial" w:hAnsi="Arial" w:cs="Arial"/>
          <w:lang w:val="en-US"/>
        </w:rPr>
        <w:t>Stirbu</w:t>
      </w:r>
      <w:proofErr w:type="spellEnd"/>
      <w:r w:rsidRPr="008B2BC8">
        <w:rPr>
          <w:rFonts w:ascii="Arial" w:hAnsi="Arial" w:cs="Arial"/>
          <w:lang w:val="en-US"/>
        </w:rPr>
        <w:t xml:space="preserve"> I, </w:t>
      </w:r>
      <w:proofErr w:type="spellStart"/>
      <w:r w:rsidRPr="008B2BC8">
        <w:rPr>
          <w:rFonts w:ascii="Arial" w:hAnsi="Arial" w:cs="Arial"/>
          <w:lang w:val="en-US"/>
        </w:rPr>
        <w:t>Korevaar</w:t>
      </w:r>
      <w:proofErr w:type="spellEnd"/>
      <w:r w:rsidRPr="008B2BC8">
        <w:rPr>
          <w:rFonts w:ascii="Arial" w:hAnsi="Arial" w:cs="Arial"/>
          <w:lang w:val="en-US"/>
        </w:rPr>
        <w:t xml:space="preserve"> JC, </w:t>
      </w:r>
      <w:proofErr w:type="spellStart"/>
      <w:r w:rsidRPr="008B2BC8">
        <w:rPr>
          <w:rFonts w:ascii="Arial" w:hAnsi="Arial" w:cs="Arial"/>
          <w:lang w:val="en-US"/>
        </w:rPr>
        <w:t>Schellevis</w:t>
      </w:r>
      <w:proofErr w:type="spellEnd"/>
      <w:r w:rsidRPr="008B2BC8">
        <w:rPr>
          <w:rFonts w:ascii="Arial" w:hAnsi="Arial" w:cs="Arial"/>
          <w:lang w:val="en-US"/>
        </w:rPr>
        <w:t xml:space="preserve"> FG, </w:t>
      </w:r>
      <w:proofErr w:type="spellStart"/>
      <w:r w:rsidRPr="008B2BC8">
        <w:rPr>
          <w:rFonts w:ascii="Arial" w:hAnsi="Arial" w:cs="Arial"/>
          <w:lang w:val="en-US"/>
        </w:rPr>
        <w:t>Picavet</w:t>
      </w:r>
      <w:proofErr w:type="spellEnd"/>
      <w:r w:rsidRPr="008B2BC8">
        <w:rPr>
          <w:rFonts w:ascii="Arial" w:hAnsi="Arial" w:cs="Arial"/>
          <w:lang w:val="en-US"/>
        </w:rPr>
        <w:t xml:space="preserve"> HS, et al. Time trends in prevalence of chronic diseases and </w:t>
      </w:r>
      <w:proofErr w:type="spellStart"/>
      <w:r w:rsidRPr="008B2BC8">
        <w:rPr>
          <w:rFonts w:ascii="Arial" w:hAnsi="Arial" w:cs="Arial"/>
          <w:lang w:val="en-US"/>
        </w:rPr>
        <w:t>multimorbidity</w:t>
      </w:r>
      <w:proofErr w:type="spellEnd"/>
      <w:r w:rsidRPr="008B2BC8">
        <w:rPr>
          <w:rFonts w:ascii="Arial" w:hAnsi="Arial" w:cs="Arial"/>
          <w:lang w:val="en-US"/>
        </w:rPr>
        <w:t xml:space="preserve"> not only due to aging: Data from general practices and health surveys. </w:t>
      </w:r>
      <w:proofErr w:type="spellStart"/>
      <w:r w:rsidRPr="008B2BC8">
        <w:rPr>
          <w:rFonts w:ascii="Arial" w:hAnsi="Arial" w:cs="Arial"/>
          <w:lang w:val="en-US"/>
        </w:rPr>
        <w:t>PLoS</w:t>
      </w:r>
      <w:proofErr w:type="spellEnd"/>
      <w:r w:rsidRPr="008B2BC8">
        <w:rPr>
          <w:rFonts w:ascii="Arial" w:hAnsi="Arial" w:cs="Arial"/>
          <w:lang w:val="en-US"/>
        </w:rPr>
        <w:t xml:space="preserve"> One. 2016</w:t>
      </w:r>
      <w:proofErr w:type="gramStart"/>
      <w:r w:rsidRPr="008B2BC8">
        <w:rPr>
          <w:rFonts w:ascii="Arial" w:hAnsi="Arial" w:cs="Arial"/>
          <w:lang w:val="en-US"/>
        </w:rPr>
        <w:t>;11:e0160264</w:t>
      </w:r>
      <w:proofErr w:type="gramEnd"/>
      <w:r w:rsidRPr="008B2BC8">
        <w:rPr>
          <w:rFonts w:ascii="Arial" w:hAnsi="Arial" w:cs="Arial"/>
          <w:lang w:val="en-US"/>
        </w:rPr>
        <w:t>.</w:t>
      </w:r>
    </w:p>
    <w:p w:rsidR="001976ED" w:rsidRDefault="001976ED" w:rsidP="001976ED">
      <w:pPr>
        <w:pStyle w:val="Prrafodelista"/>
        <w:numPr>
          <w:ilvl w:val="0"/>
          <w:numId w:val="13"/>
        </w:numPr>
        <w:spacing w:after="200" w:line="360" w:lineRule="auto"/>
        <w:jc w:val="both"/>
        <w:rPr>
          <w:rFonts w:ascii="Arial" w:hAnsi="Arial" w:cs="Arial"/>
        </w:rPr>
      </w:pPr>
      <w:r w:rsidRPr="002B6F4D">
        <w:rPr>
          <w:rFonts w:ascii="Arial" w:hAnsi="Arial" w:cs="Arial"/>
        </w:rPr>
        <w:t xml:space="preserve">Prados A, del Cura I, Prados JD, Leiva F, López JA, Calderón A, </w:t>
      </w:r>
      <w:proofErr w:type="spellStart"/>
      <w:r w:rsidRPr="002B6F4D">
        <w:rPr>
          <w:rFonts w:ascii="Arial" w:hAnsi="Arial" w:cs="Arial"/>
        </w:rPr>
        <w:t>Muth</w:t>
      </w:r>
      <w:proofErr w:type="spellEnd"/>
      <w:r w:rsidRPr="002B6F4D">
        <w:rPr>
          <w:rFonts w:ascii="Arial" w:hAnsi="Arial" w:cs="Arial"/>
        </w:rPr>
        <w:t xml:space="preserve"> Ch. Multimorbilidad en medicina de familia y los principios </w:t>
      </w:r>
      <w:proofErr w:type="spellStart"/>
      <w:r w:rsidRPr="002B6F4D">
        <w:rPr>
          <w:rFonts w:ascii="Arial" w:hAnsi="Arial" w:cs="Arial"/>
        </w:rPr>
        <w:t>Ariadne</w:t>
      </w:r>
      <w:proofErr w:type="spellEnd"/>
      <w:r w:rsidRPr="002B6F4D">
        <w:rPr>
          <w:rFonts w:ascii="Arial" w:hAnsi="Arial" w:cs="Arial"/>
        </w:rPr>
        <w:t>. Un enfoque centrado en la persona</w:t>
      </w:r>
      <w:r>
        <w:rPr>
          <w:rFonts w:ascii="Arial" w:hAnsi="Arial" w:cs="Arial"/>
        </w:rPr>
        <w:t>. Aten Primaria. 2017</w:t>
      </w:r>
      <w:proofErr w:type="gramStart"/>
      <w:r>
        <w:rPr>
          <w:rFonts w:ascii="Arial" w:hAnsi="Arial" w:cs="Arial"/>
        </w:rPr>
        <w:t>;49</w:t>
      </w:r>
      <w:proofErr w:type="gramEnd"/>
      <w:r>
        <w:rPr>
          <w:rFonts w:ascii="Arial" w:hAnsi="Arial" w:cs="Arial"/>
        </w:rPr>
        <w:t>(5):300</w:t>
      </w:r>
      <w:r w:rsidRPr="002B6F4D">
        <w:rPr>
          <w:rFonts w:ascii="Arial" w:hAnsi="Arial" w:cs="Arial"/>
        </w:rPr>
        <w:t>-307</w:t>
      </w:r>
      <w:r>
        <w:rPr>
          <w:rFonts w:ascii="Arial" w:hAnsi="Arial" w:cs="Arial"/>
        </w:rPr>
        <w:t>.</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r w:rsidRPr="00590FC4">
        <w:rPr>
          <w:rFonts w:ascii="Arial" w:hAnsi="Arial" w:cs="Arial"/>
          <w:lang w:val="en-US"/>
        </w:rPr>
        <w:t>Marengoni</w:t>
      </w:r>
      <w:proofErr w:type="spellEnd"/>
      <w:r w:rsidRPr="00590FC4">
        <w:rPr>
          <w:rFonts w:ascii="Arial" w:hAnsi="Arial" w:cs="Arial"/>
          <w:lang w:val="en-US"/>
        </w:rPr>
        <w:t xml:space="preserve"> A, </w:t>
      </w:r>
      <w:proofErr w:type="spellStart"/>
      <w:r w:rsidRPr="00590FC4">
        <w:rPr>
          <w:rFonts w:ascii="Arial" w:hAnsi="Arial" w:cs="Arial"/>
          <w:lang w:val="en-US"/>
        </w:rPr>
        <w:t>Angleman</w:t>
      </w:r>
      <w:proofErr w:type="spellEnd"/>
      <w:r w:rsidRPr="00590FC4">
        <w:rPr>
          <w:rFonts w:ascii="Arial" w:hAnsi="Arial" w:cs="Arial"/>
          <w:lang w:val="en-US"/>
        </w:rPr>
        <w:t xml:space="preserve"> S, </w:t>
      </w:r>
      <w:proofErr w:type="spellStart"/>
      <w:r w:rsidRPr="00590FC4">
        <w:rPr>
          <w:rFonts w:ascii="Arial" w:hAnsi="Arial" w:cs="Arial"/>
          <w:lang w:val="en-US"/>
        </w:rPr>
        <w:t>Melis</w:t>
      </w:r>
      <w:proofErr w:type="spellEnd"/>
      <w:r w:rsidRPr="00590FC4">
        <w:rPr>
          <w:rFonts w:ascii="Arial" w:hAnsi="Arial" w:cs="Arial"/>
          <w:lang w:val="en-US"/>
        </w:rPr>
        <w:t xml:space="preserve"> R, </w:t>
      </w:r>
      <w:proofErr w:type="spellStart"/>
      <w:r w:rsidRPr="00590FC4">
        <w:rPr>
          <w:rFonts w:ascii="Arial" w:hAnsi="Arial" w:cs="Arial"/>
          <w:lang w:val="en-US"/>
        </w:rPr>
        <w:t>Mangialasche</w:t>
      </w:r>
      <w:proofErr w:type="spellEnd"/>
      <w:r w:rsidRPr="00590FC4">
        <w:rPr>
          <w:rFonts w:ascii="Arial" w:hAnsi="Arial" w:cs="Arial"/>
          <w:lang w:val="en-US"/>
        </w:rPr>
        <w:t xml:space="preserve"> F, Karp A, </w:t>
      </w:r>
      <w:proofErr w:type="spellStart"/>
      <w:r w:rsidRPr="00590FC4">
        <w:rPr>
          <w:rFonts w:ascii="Arial" w:hAnsi="Arial" w:cs="Arial"/>
          <w:lang w:val="en-US"/>
        </w:rPr>
        <w:t>Garmen</w:t>
      </w:r>
      <w:proofErr w:type="spellEnd"/>
      <w:r w:rsidRPr="00590FC4">
        <w:rPr>
          <w:rFonts w:ascii="Arial" w:hAnsi="Arial" w:cs="Arial"/>
          <w:lang w:val="en-US"/>
        </w:rPr>
        <w:t xml:space="preserve"> A, et al. Aging with </w:t>
      </w:r>
      <w:proofErr w:type="spellStart"/>
      <w:r w:rsidRPr="00590FC4">
        <w:rPr>
          <w:rFonts w:ascii="Arial" w:hAnsi="Arial" w:cs="Arial"/>
          <w:lang w:val="en-US"/>
        </w:rPr>
        <w:t>multimorbidity</w:t>
      </w:r>
      <w:proofErr w:type="spellEnd"/>
      <w:r w:rsidRPr="00590FC4">
        <w:rPr>
          <w:rFonts w:ascii="Arial" w:hAnsi="Arial" w:cs="Arial"/>
          <w:lang w:val="en-US"/>
        </w:rPr>
        <w:t>: a systematic review of the literature. Ageing Res Rev. 2011 Sep</w:t>
      </w:r>
      <w:proofErr w:type="gramStart"/>
      <w:r w:rsidRPr="00590FC4">
        <w:rPr>
          <w:rFonts w:ascii="Arial" w:hAnsi="Arial" w:cs="Arial"/>
          <w:lang w:val="en-US"/>
        </w:rPr>
        <w:t>;10</w:t>
      </w:r>
      <w:proofErr w:type="gramEnd"/>
      <w:r w:rsidRPr="00590FC4">
        <w:rPr>
          <w:rFonts w:ascii="Arial" w:hAnsi="Arial" w:cs="Arial"/>
          <w:lang w:val="en-US"/>
        </w:rPr>
        <w:t>(4):430-9.</w:t>
      </w:r>
    </w:p>
    <w:p w:rsidR="001976ED" w:rsidRPr="008F0352" w:rsidRDefault="001976ED" w:rsidP="001976ED">
      <w:pPr>
        <w:pStyle w:val="Prrafodelista"/>
        <w:numPr>
          <w:ilvl w:val="0"/>
          <w:numId w:val="13"/>
        </w:numPr>
        <w:spacing w:after="200" w:line="360" w:lineRule="auto"/>
        <w:jc w:val="both"/>
        <w:rPr>
          <w:rFonts w:ascii="Arial" w:hAnsi="Arial" w:cs="Arial"/>
        </w:rPr>
      </w:pPr>
      <w:proofErr w:type="spellStart"/>
      <w:r w:rsidRPr="008F0352">
        <w:rPr>
          <w:rFonts w:ascii="Arial" w:hAnsi="Arial" w:cs="Arial"/>
          <w:lang w:val="en-US"/>
        </w:rPr>
        <w:t>Aworinde</w:t>
      </w:r>
      <w:proofErr w:type="spellEnd"/>
      <w:r w:rsidRPr="008F0352">
        <w:rPr>
          <w:rFonts w:ascii="Arial" w:hAnsi="Arial" w:cs="Arial"/>
          <w:lang w:val="en-US"/>
        </w:rPr>
        <w:t xml:space="preserve"> J, </w:t>
      </w:r>
      <w:proofErr w:type="spellStart"/>
      <w:r w:rsidRPr="008F0352">
        <w:rPr>
          <w:rFonts w:ascii="Arial" w:hAnsi="Arial" w:cs="Arial"/>
          <w:lang w:val="en-US"/>
        </w:rPr>
        <w:t>Werbeloff</w:t>
      </w:r>
      <w:proofErr w:type="spellEnd"/>
      <w:r w:rsidRPr="008F0352">
        <w:rPr>
          <w:rFonts w:ascii="Arial" w:hAnsi="Arial" w:cs="Arial"/>
          <w:lang w:val="en-US"/>
        </w:rPr>
        <w:t xml:space="preserve"> N, Lewis G, Livingston G, </w:t>
      </w:r>
      <w:proofErr w:type="spellStart"/>
      <w:r w:rsidRPr="008F0352">
        <w:rPr>
          <w:rFonts w:ascii="Arial" w:hAnsi="Arial" w:cs="Arial"/>
          <w:lang w:val="en-US"/>
        </w:rPr>
        <w:t>Sommerlad</w:t>
      </w:r>
      <w:proofErr w:type="spellEnd"/>
      <w:r w:rsidRPr="008F0352">
        <w:rPr>
          <w:rFonts w:ascii="Arial" w:hAnsi="Arial" w:cs="Arial"/>
          <w:lang w:val="en-US"/>
        </w:rPr>
        <w:t xml:space="preserve"> A. Dementia severity at death: a register-based cohort study. </w:t>
      </w:r>
      <w:r w:rsidRPr="008F0352">
        <w:rPr>
          <w:rFonts w:ascii="Arial" w:hAnsi="Arial" w:cs="Arial"/>
        </w:rPr>
        <w:t xml:space="preserve">BMC </w:t>
      </w:r>
      <w:proofErr w:type="spellStart"/>
      <w:r w:rsidRPr="008F0352">
        <w:rPr>
          <w:rFonts w:ascii="Arial" w:hAnsi="Arial" w:cs="Arial"/>
        </w:rPr>
        <w:t>Psychiatry</w:t>
      </w:r>
      <w:proofErr w:type="spellEnd"/>
      <w:r w:rsidRPr="008F0352">
        <w:rPr>
          <w:rFonts w:ascii="Arial" w:hAnsi="Arial" w:cs="Arial"/>
        </w:rPr>
        <w:t xml:space="preserve"> 2018; 18:355. Disponible en: https://doi.org/10.1186/s12888-018-1930-5</w:t>
      </w:r>
      <w:r>
        <w:rPr>
          <w:rFonts w:ascii="Arial" w:hAnsi="Arial" w:cs="Arial"/>
        </w:rPr>
        <w:t>.</w:t>
      </w:r>
    </w:p>
    <w:p w:rsidR="001976ED" w:rsidRPr="00254575" w:rsidRDefault="001976ED" w:rsidP="001976ED">
      <w:pPr>
        <w:pStyle w:val="Prrafodelista"/>
        <w:numPr>
          <w:ilvl w:val="0"/>
          <w:numId w:val="13"/>
        </w:numPr>
        <w:spacing w:after="200" w:line="360" w:lineRule="auto"/>
        <w:jc w:val="both"/>
        <w:rPr>
          <w:rFonts w:ascii="Arial" w:hAnsi="Arial" w:cs="Arial"/>
        </w:rPr>
      </w:pPr>
      <w:proofErr w:type="spellStart"/>
      <w:r w:rsidRPr="00254575">
        <w:rPr>
          <w:rFonts w:ascii="Arial" w:hAnsi="Arial" w:cs="Arial"/>
        </w:rPr>
        <w:t>L</w:t>
      </w:r>
      <w:r>
        <w:rPr>
          <w:rFonts w:ascii="Arial" w:hAnsi="Arial" w:cs="Arial"/>
        </w:rPr>
        <w:t>l</w:t>
      </w:r>
      <w:r w:rsidRPr="00254575">
        <w:rPr>
          <w:rFonts w:ascii="Arial" w:hAnsi="Arial" w:cs="Arial"/>
        </w:rPr>
        <w:t>ibre</w:t>
      </w:r>
      <w:proofErr w:type="spellEnd"/>
      <w:r w:rsidRPr="00254575">
        <w:rPr>
          <w:rFonts w:ascii="Arial" w:hAnsi="Arial" w:cs="Arial"/>
        </w:rPr>
        <w:t xml:space="preserve"> Rodríguez JJ, Gutiérrez Herrera RF. Demencias y enfermedad de Alzheimer en  América  Latina  y  el  Caribe.  </w:t>
      </w:r>
      <w:proofErr w:type="spellStart"/>
      <w:r w:rsidRPr="00254575">
        <w:rPr>
          <w:rFonts w:ascii="Arial" w:hAnsi="Arial" w:cs="Arial"/>
        </w:rPr>
        <w:t>Rev</w:t>
      </w:r>
      <w:proofErr w:type="spellEnd"/>
      <w:r w:rsidRPr="00254575">
        <w:rPr>
          <w:rFonts w:ascii="Arial" w:hAnsi="Arial" w:cs="Arial"/>
        </w:rPr>
        <w:t xml:space="preserve">  Cubana  Salud  Pública.   2014</w:t>
      </w:r>
      <w:proofErr w:type="gramStart"/>
      <w:r w:rsidRPr="00254575">
        <w:rPr>
          <w:rFonts w:ascii="Arial" w:hAnsi="Arial" w:cs="Arial"/>
        </w:rPr>
        <w:t>;40</w:t>
      </w:r>
      <w:proofErr w:type="gramEnd"/>
      <w:r w:rsidRPr="00254575">
        <w:rPr>
          <w:rFonts w:ascii="Arial" w:hAnsi="Arial" w:cs="Arial"/>
        </w:rPr>
        <w:t>(3):378-87. Acceso: 13/10/2017. Disponible en: http://scielo.sld.cu/</w:t>
      </w:r>
    </w:p>
    <w:p w:rsidR="001976ED" w:rsidRPr="00254575" w:rsidRDefault="001976ED" w:rsidP="001976ED">
      <w:pPr>
        <w:pStyle w:val="Prrafodelista"/>
        <w:spacing w:after="200" w:line="360" w:lineRule="auto"/>
        <w:ind w:left="360"/>
        <w:jc w:val="both"/>
        <w:rPr>
          <w:rFonts w:ascii="Arial" w:hAnsi="Arial" w:cs="Arial"/>
          <w:lang w:val="en-US"/>
        </w:rPr>
      </w:pPr>
      <w:proofErr w:type="spellStart"/>
      <w:r w:rsidRPr="00254575">
        <w:rPr>
          <w:rFonts w:ascii="Arial" w:hAnsi="Arial" w:cs="Arial"/>
          <w:lang w:val="en-US"/>
        </w:rPr>
        <w:t>scielo.php</w:t>
      </w:r>
      <w:proofErr w:type="gramStart"/>
      <w:r w:rsidRPr="00254575">
        <w:rPr>
          <w:rFonts w:ascii="Arial" w:hAnsi="Arial" w:cs="Arial"/>
          <w:lang w:val="en-US"/>
        </w:rPr>
        <w:t>?script</w:t>
      </w:r>
      <w:proofErr w:type="spellEnd"/>
      <w:proofErr w:type="gramEnd"/>
      <w:r w:rsidRPr="00254575">
        <w:rPr>
          <w:rFonts w:ascii="Arial" w:hAnsi="Arial" w:cs="Arial"/>
          <w:lang w:val="en-US"/>
        </w:rPr>
        <w:t>=</w:t>
      </w:r>
      <w:proofErr w:type="spellStart"/>
      <w:r w:rsidRPr="00254575">
        <w:rPr>
          <w:rFonts w:ascii="Arial" w:hAnsi="Arial" w:cs="Arial"/>
          <w:lang w:val="en-US"/>
        </w:rPr>
        <w:t>sci_arttext&amp;pid</w:t>
      </w:r>
      <w:proofErr w:type="spellEnd"/>
      <w:r w:rsidRPr="00254575">
        <w:rPr>
          <w:rFonts w:ascii="Arial" w:hAnsi="Arial" w:cs="Arial"/>
          <w:lang w:val="en-US"/>
        </w:rPr>
        <w:t>=S0864-34662014000300008&amp;lng=</w:t>
      </w:r>
      <w:proofErr w:type="spellStart"/>
      <w:r w:rsidRPr="00254575">
        <w:rPr>
          <w:rFonts w:ascii="Arial" w:hAnsi="Arial" w:cs="Arial"/>
          <w:lang w:val="en-US"/>
        </w:rPr>
        <w:t>es</w:t>
      </w:r>
      <w:proofErr w:type="spellEnd"/>
    </w:p>
    <w:p w:rsidR="001976ED" w:rsidRPr="00526992" w:rsidRDefault="001976ED" w:rsidP="001976ED">
      <w:pPr>
        <w:pStyle w:val="Prrafodelista"/>
        <w:numPr>
          <w:ilvl w:val="0"/>
          <w:numId w:val="13"/>
        </w:numPr>
        <w:spacing w:after="200" w:line="360" w:lineRule="auto"/>
        <w:jc w:val="both"/>
        <w:rPr>
          <w:rFonts w:ascii="Arial" w:hAnsi="Arial" w:cs="Arial"/>
        </w:rPr>
      </w:pPr>
      <w:proofErr w:type="spellStart"/>
      <w:r w:rsidRPr="00526992">
        <w:rPr>
          <w:rFonts w:ascii="Arial" w:hAnsi="Arial" w:cs="Arial"/>
          <w:lang w:val="en-US"/>
        </w:rPr>
        <w:t>Llibre</w:t>
      </w:r>
      <w:proofErr w:type="spellEnd"/>
      <w:r w:rsidRPr="00526992">
        <w:rPr>
          <w:rFonts w:ascii="Arial" w:hAnsi="Arial" w:cs="Arial"/>
          <w:lang w:val="en-US"/>
        </w:rPr>
        <w:t xml:space="preserve"> JJ, </w:t>
      </w:r>
      <w:proofErr w:type="spellStart"/>
      <w:r w:rsidRPr="00526992">
        <w:rPr>
          <w:rFonts w:ascii="Arial" w:hAnsi="Arial" w:cs="Arial"/>
          <w:lang w:val="en-US"/>
        </w:rPr>
        <w:t>Díaz</w:t>
      </w:r>
      <w:proofErr w:type="spellEnd"/>
      <w:r w:rsidRPr="00526992">
        <w:rPr>
          <w:rFonts w:ascii="Arial" w:hAnsi="Arial" w:cs="Arial"/>
          <w:lang w:val="en-US"/>
        </w:rPr>
        <w:t xml:space="preserve"> JP, Rodríguez AM, </w:t>
      </w:r>
      <w:proofErr w:type="spellStart"/>
      <w:r w:rsidRPr="00526992">
        <w:rPr>
          <w:rFonts w:ascii="Arial" w:hAnsi="Arial" w:cs="Arial"/>
          <w:lang w:val="en-US"/>
        </w:rPr>
        <w:t>Peñalver</w:t>
      </w:r>
      <w:proofErr w:type="spellEnd"/>
      <w:r w:rsidRPr="00526992">
        <w:rPr>
          <w:rFonts w:ascii="Arial" w:hAnsi="Arial" w:cs="Arial"/>
          <w:lang w:val="en-US"/>
        </w:rPr>
        <w:t xml:space="preserve"> AI, </w:t>
      </w:r>
      <w:proofErr w:type="spellStart"/>
      <w:r w:rsidRPr="00526992">
        <w:rPr>
          <w:rFonts w:ascii="Arial" w:hAnsi="Arial" w:cs="Arial"/>
          <w:lang w:val="en-US"/>
        </w:rPr>
        <w:t>Guartazaca</w:t>
      </w:r>
      <w:proofErr w:type="spellEnd"/>
      <w:r w:rsidRPr="00526992">
        <w:rPr>
          <w:rFonts w:ascii="Arial" w:hAnsi="Arial" w:cs="Arial"/>
          <w:lang w:val="en-US"/>
        </w:rPr>
        <w:t xml:space="preserve"> EP, </w:t>
      </w:r>
      <w:proofErr w:type="spellStart"/>
      <w:r w:rsidRPr="00526992">
        <w:rPr>
          <w:rFonts w:ascii="Arial" w:hAnsi="Arial" w:cs="Arial"/>
          <w:lang w:val="en-US"/>
        </w:rPr>
        <w:t>Rousseaux</w:t>
      </w:r>
      <w:proofErr w:type="spellEnd"/>
      <w:r w:rsidRPr="00526992">
        <w:rPr>
          <w:rFonts w:ascii="Arial" w:hAnsi="Arial" w:cs="Arial"/>
          <w:lang w:val="en-US"/>
        </w:rPr>
        <w:t xml:space="preserve"> E, </w:t>
      </w:r>
      <w:proofErr w:type="spellStart"/>
      <w:r w:rsidRPr="00526992">
        <w:rPr>
          <w:rFonts w:ascii="Arial" w:hAnsi="Arial" w:cs="Arial"/>
          <w:lang w:val="en-US"/>
        </w:rPr>
        <w:t>Estellés</w:t>
      </w:r>
      <w:proofErr w:type="spellEnd"/>
      <w:r w:rsidRPr="00526992">
        <w:rPr>
          <w:rFonts w:ascii="Arial" w:hAnsi="Arial" w:cs="Arial"/>
          <w:lang w:val="en-US"/>
        </w:rPr>
        <w:t xml:space="preserve"> MT. </w:t>
      </w:r>
      <w:r w:rsidRPr="00526992">
        <w:rPr>
          <w:rFonts w:ascii="Arial" w:hAnsi="Arial" w:cs="Arial"/>
        </w:rPr>
        <w:t xml:space="preserve">Determinantes del estado de salud de la población y su influencia en </w:t>
      </w:r>
      <w:r w:rsidRPr="00526992">
        <w:rPr>
          <w:rFonts w:ascii="Arial" w:hAnsi="Arial" w:cs="Arial"/>
        </w:rPr>
        <w:lastRenderedPageBreak/>
        <w:t xml:space="preserve">el desarrollo de </w:t>
      </w:r>
      <w:r>
        <w:rPr>
          <w:rFonts w:ascii="Arial" w:hAnsi="Arial" w:cs="Arial"/>
        </w:rPr>
        <w:t xml:space="preserve">los trastornos cognitivos. </w:t>
      </w:r>
      <w:proofErr w:type="spellStart"/>
      <w:r>
        <w:rPr>
          <w:rFonts w:ascii="Arial" w:hAnsi="Arial" w:cs="Arial"/>
        </w:rPr>
        <w:t>Rev</w:t>
      </w:r>
      <w:proofErr w:type="spellEnd"/>
      <w:r>
        <w:rPr>
          <w:rFonts w:ascii="Arial" w:hAnsi="Arial" w:cs="Arial"/>
        </w:rPr>
        <w:t xml:space="preserve"> Cubana Salud Pública 2018</w:t>
      </w:r>
      <w:proofErr w:type="gramStart"/>
      <w:r>
        <w:rPr>
          <w:rFonts w:ascii="Arial" w:hAnsi="Arial" w:cs="Arial"/>
        </w:rPr>
        <w:t>;44</w:t>
      </w:r>
      <w:proofErr w:type="gramEnd"/>
      <w:r>
        <w:rPr>
          <w:rFonts w:ascii="Arial" w:hAnsi="Arial" w:cs="Arial"/>
        </w:rPr>
        <w:t>(1):141-152.</w:t>
      </w:r>
    </w:p>
    <w:p w:rsidR="001976ED" w:rsidRDefault="001976ED" w:rsidP="001976ED">
      <w:pPr>
        <w:pStyle w:val="Prrafodelista"/>
        <w:numPr>
          <w:ilvl w:val="0"/>
          <w:numId w:val="13"/>
        </w:numPr>
        <w:spacing w:after="0" w:line="360" w:lineRule="auto"/>
        <w:jc w:val="both"/>
        <w:rPr>
          <w:rFonts w:ascii="Arial" w:hAnsi="Arial" w:cs="Arial"/>
        </w:rPr>
      </w:pPr>
      <w:r w:rsidRPr="00817AA9">
        <w:rPr>
          <w:rFonts w:ascii="Arial" w:hAnsi="Arial" w:cs="Arial"/>
          <w:lang w:val="en-US"/>
        </w:rPr>
        <w:t xml:space="preserve">International Alzheimer’s disease. Dementia in the Americas: current and future cost and prevalence of Alzheimer’s disease and other dementias. </w:t>
      </w:r>
      <w:r w:rsidRPr="008D7404">
        <w:rPr>
          <w:rFonts w:ascii="Arial" w:hAnsi="Arial" w:cs="Arial"/>
        </w:rPr>
        <w:t>ADI/</w:t>
      </w:r>
      <w:proofErr w:type="spellStart"/>
      <w:r w:rsidRPr="008D7404">
        <w:rPr>
          <w:rFonts w:ascii="Arial" w:hAnsi="Arial" w:cs="Arial"/>
        </w:rPr>
        <w:t>Bupa</w:t>
      </w:r>
      <w:proofErr w:type="spellEnd"/>
      <w:r w:rsidRPr="008D7404">
        <w:rPr>
          <w:rFonts w:ascii="Arial" w:hAnsi="Arial" w:cs="Arial"/>
        </w:rPr>
        <w:t xml:space="preserve"> </w:t>
      </w:r>
      <w:proofErr w:type="spellStart"/>
      <w:r w:rsidRPr="008D7404">
        <w:rPr>
          <w:rFonts w:ascii="Arial" w:hAnsi="Arial" w:cs="Arial"/>
        </w:rPr>
        <w:t>Rep</w:t>
      </w:r>
      <w:proofErr w:type="spellEnd"/>
      <w:r w:rsidRPr="008D7404">
        <w:rPr>
          <w:rFonts w:ascii="Arial" w:hAnsi="Arial" w:cs="Arial"/>
        </w:rPr>
        <w:t xml:space="preserve"> [Internet]. </w:t>
      </w:r>
      <w:r w:rsidRPr="00817AA9">
        <w:rPr>
          <w:rFonts w:ascii="Arial" w:hAnsi="Arial" w:cs="Arial"/>
        </w:rPr>
        <w:t>2019.</w:t>
      </w:r>
      <w:r w:rsidRPr="00817AA9">
        <w:t xml:space="preserve"> </w:t>
      </w:r>
      <w:r w:rsidRPr="00817AA9">
        <w:rPr>
          <w:rFonts w:ascii="Arial" w:hAnsi="Arial" w:cs="Arial"/>
        </w:rPr>
        <w:t xml:space="preserve">Disponible en: </w:t>
      </w:r>
      <w:hyperlink r:id="rId16" w:history="1">
        <w:r w:rsidRPr="00B46DDC">
          <w:rPr>
            <w:rStyle w:val="Hipervnculo"/>
            <w:rFonts w:ascii="Arial" w:hAnsi="Arial" w:cs="Arial"/>
          </w:rPr>
          <w:t>https://www.alz.co.uk/sites/default/files/pdfs/dementia-in-the-americas.pdf</w:t>
        </w:r>
      </w:hyperlink>
      <w:r w:rsidRPr="00817AA9">
        <w:rPr>
          <w:rFonts w:ascii="Arial" w:hAnsi="Arial" w:cs="Arial"/>
        </w:rPr>
        <w:t>.</w:t>
      </w:r>
    </w:p>
    <w:p w:rsidR="001976ED" w:rsidRDefault="001976ED" w:rsidP="001976ED">
      <w:pPr>
        <w:pStyle w:val="Prrafodelista"/>
        <w:numPr>
          <w:ilvl w:val="0"/>
          <w:numId w:val="13"/>
        </w:numPr>
        <w:spacing w:after="200" w:line="360" w:lineRule="auto"/>
        <w:jc w:val="both"/>
        <w:rPr>
          <w:rFonts w:ascii="Arial" w:hAnsi="Arial" w:cs="Arial"/>
          <w:lang w:val="en-US"/>
        </w:rPr>
      </w:pPr>
      <w:r w:rsidRPr="007621D9">
        <w:rPr>
          <w:rFonts w:ascii="Arial" w:hAnsi="Arial" w:cs="Arial"/>
          <w:lang w:val="en-US"/>
        </w:rPr>
        <w:t>World Health Organization. The World Health Report 2008. Primary Health Care. Now more than ever. New York: The World Health Report; 2008. p. 14.</w:t>
      </w:r>
    </w:p>
    <w:p w:rsidR="001976ED" w:rsidRPr="00704BD3" w:rsidRDefault="001976ED" w:rsidP="001976ED">
      <w:pPr>
        <w:pStyle w:val="Prrafodelista"/>
        <w:numPr>
          <w:ilvl w:val="0"/>
          <w:numId w:val="13"/>
        </w:numPr>
        <w:spacing w:after="200" w:line="360" w:lineRule="auto"/>
        <w:jc w:val="both"/>
        <w:rPr>
          <w:rFonts w:ascii="Arial" w:hAnsi="Arial" w:cs="Arial"/>
          <w:lang w:val="en-US"/>
        </w:rPr>
      </w:pPr>
      <w:r w:rsidRPr="00704BD3">
        <w:rPr>
          <w:rFonts w:ascii="Arial" w:hAnsi="Arial" w:cs="Arial"/>
          <w:lang w:val="en-US"/>
        </w:rPr>
        <w:t xml:space="preserve">van  den  </w:t>
      </w:r>
      <w:proofErr w:type="spellStart"/>
      <w:r w:rsidRPr="00704BD3">
        <w:rPr>
          <w:rFonts w:ascii="Arial" w:hAnsi="Arial" w:cs="Arial"/>
          <w:lang w:val="en-US"/>
        </w:rPr>
        <w:t>Akker</w:t>
      </w:r>
      <w:proofErr w:type="spellEnd"/>
      <w:r w:rsidRPr="00704BD3">
        <w:rPr>
          <w:rFonts w:ascii="Arial" w:hAnsi="Arial" w:cs="Arial"/>
          <w:lang w:val="en-US"/>
        </w:rPr>
        <w:t xml:space="preserve">  M,  </w:t>
      </w:r>
      <w:proofErr w:type="spellStart"/>
      <w:r w:rsidRPr="00704BD3">
        <w:rPr>
          <w:rFonts w:ascii="Arial" w:hAnsi="Arial" w:cs="Arial"/>
          <w:lang w:val="en-US"/>
        </w:rPr>
        <w:t>Buntinx</w:t>
      </w:r>
      <w:proofErr w:type="spellEnd"/>
      <w:r w:rsidRPr="00704BD3">
        <w:rPr>
          <w:rFonts w:ascii="Arial" w:hAnsi="Arial" w:cs="Arial"/>
          <w:lang w:val="en-US"/>
        </w:rPr>
        <w:t xml:space="preserve">  F,  </w:t>
      </w:r>
      <w:proofErr w:type="spellStart"/>
      <w:r w:rsidRPr="00704BD3">
        <w:rPr>
          <w:rFonts w:ascii="Arial" w:hAnsi="Arial" w:cs="Arial"/>
          <w:lang w:val="en-US"/>
        </w:rPr>
        <w:t>Metsemakers</w:t>
      </w:r>
      <w:proofErr w:type="spellEnd"/>
      <w:r w:rsidRPr="00704BD3">
        <w:rPr>
          <w:rFonts w:ascii="Arial" w:hAnsi="Arial" w:cs="Arial"/>
          <w:lang w:val="en-US"/>
        </w:rPr>
        <w:t xml:space="preserve">  JF,  </w:t>
      </w:r>
      <w:proofErr w:type="spellStart"/>
      <w:r w:rsidRPr="00704BD3">
        <w:rPr>
          <w:rFonts w:ascii="Arial" w:hAnsi="Arial" w:cs="Arial"/>
          <w:lang w:val="en-US"/>
        </w:rPr>
        <w:t>Roos</w:t>
      </w:r>
      <w:proofErr w:type="spellEnd"/>
      <w:r w:rsidRPr="00704BD3">
        <w:rPr>
          <w:rFonts w:ascii="Arial" w:hAnsi="Arial" w:cs="Arial"/>
          <w:lang w:val="en-US"/>
        </w:rPr>
        <w:t xml:space="preserve"> S,  </w:t>
      </w:r>
      <w:proofErr w:type="spellStart"/>
      <w:r w:rsidRPr="00704BD3">
        <w:rPr>
          <w:rFonts w:ascii="Arial" w:hAnsi="Arial" w:cs="Arial"/>
          <w:lang w:val="en-US"/>
        </w:rPr>
        <w:t>Knottnerus</w:t>
      </w:r>
      <w:proofErr w:type="spellEnd"/>
      <w:r w:rsidRPr="00704BD3">
        <w:rPr>
          <w:rFonts w:ascii="Arial" w:hAnsi="Arial" w:cs="Arial"/>
          <w:lang w:val="en-US"/>
        </w:rPr>
        <w:t xml:space="preserve">  JA.  </w:t>
      </w:r>
      <w:proofErr w:type="spellStart"/>
      <w:proofErr w:type="gramStart"/>
      <w:r w:rsidRPr="00704BD3">
        <w:rPr>
          <w:rFonts w:ascii="Arial" w:hAnsi="Arial" w:cs="Arial"/>
          <w:lang w:val="en-US"/>
        </w:rPr>
        <w:t>Multimorbidity</w:t>
      </w:r>
      <w:proofErr w:type="spellEnd"/>
      <w:r w:rsidRPr="00704BD3">
        <w:rPr>
          <w:rFonts w:ascii="Arial" w:hAnsi="Arial" w:cs="Arial"/>
          <w:lang w:val="en-US"/>
        </w:rPr>
        <w:t xml:space="preserve">  in</w:t>
      </w:r>
      <w:proofErr w:type="gramEnd"/>
      <w:r w:rsidRPr="00704BD3">
        <w:rPr>
          <w:rFonts w:ascii="Arial" w:hAnsi="Arial" w:cs="Arial"/>
          <w:lang w:val="en-US"/>
        </w:rPr>
        <w:t xml:space="preserve">  general  practice: Prevalence,  incidence,  and  determinants  of  co-occurring chronic and recurrent diseases. J </w:t>
      </w:r>
      <w:proofErr w:type="spellStart"/>
      <w:r w:rsidRPr="00704BD3">
        <w:rPr>
          <w:rFonts w:ascii="Arial" w:hAnsi="Arial" w:cs="Arial"/>
          <w:lang w:val="en-US"/>
        </w:rPr>
        <w:t>Clin</w:t>
      </w:r>
      <w:proofErr w:type="spellEnd"/>
      <w:r w:rsidRPr="00704BD3">
        <w:rPr>
          <w:rFonts w:ascii="Arial" w:hAnsi="Arial" w:cs="Arial"/>
          <w:lang w:val="en-US"/>
        </w:rPr>
        <w:t xml:space="preserve"> </w:t>
      </w:r>
      <w:proofErr w:type="spellStart"/>
      <w:r w:rsidRPr="00704BD3">
        <w:rPr>
          <w:rFonts w:ascii="Arial" w:hAnsi="Arial" w:cs="Arial"/>
          <w:lang w:val="en-US"/>
        </w:rPr>
        <w:t>Epidemiol</w:t>
      </w:r>
      <w:proofErr w:type="spellEnd"/>
      <w:r w:rsidRPr="00704BD3">
        <w:rPr>
          <w:rFonts w:ascii="Arial" w:hAnsi="Arial" w:cs="Arial"/>
          <w:lang w:val="en-US"/>
        </w:rPr>
        <w:t>. 1998</w:t>
      </w:r>
      <w:proofErr w:type="gramStart"/>
      <w:r w:rsidRPr="00704BD3">
        <w:rPr>
          <w:rFonts w:ascii="Arial" w:hAnsi="Arial" w:cs="Arial"/>
          <w:lang w:val="en-US"/>
        </w:rPr>
        <w:t>;51</w:t>
      </w:r>
      <w:proofErr w:type="gramEnd"/>
      <w:r w:rsidRPr="00704BD3">
        <w:rPr>
          <w:rFonts w:ascii="Arial" w:hAnsi="Arial" w:cs="Arial"/>
          <w:lang w:val="en-US"/>
        </w:rPr>
        <w:t xml:space="preserve">: 367-75. </w:t>
      </w:r>
    </w:p>
    <w:p w:rsidR="001976ED" w:rsidRDefault="001976ED" w:rsidP="001976ED">
      <w:pPr>
        <w:pStyle w:val="Prrafodelista"/>
        <w:numPr>
          <w:ilvl w:val="0"/>
          <w:numId w:val="13"/>
        </w:numPr>
        <w:spacing w:after="200" w:line="360" w:lineRule="auto"/>
        <w:jc w:val="both"/>
        <w:rPr>
          <w:rFonts w:ascii="Arial" w:hAnsi="Arial" w:cs="Arial"/>
          <w:lang w:val="en-US"/>
        </w:rPr>
      </w:pPr>
      <w:r w:rsidRPr="00412C5A">
        <w:rPr>
          <w:rFonts w:ascii="Arial" w:hAnsi="Arial" w:cs="Arial"/>
          <w:lang w:val="en-US"/>
        </w:rPr>
        <w:t xml:space="preserve">Le </w:t>
      </w:r>
      <w:proofErr w:type="spellStart"/>
      <w:r w:rsidRPr="00412C5A">
        <w:rPr>
          <w:rFonts w:ascii="Arial" w:hAnsi="Arial" w:cs="Arial"/>
          <w:lang w:val="en-US"/>
        </w:rPr>
        <w:t>Reste</w:t>
      </w:r>
      <w:proofErr w:type="spellEnd"/>
      <w:r w:rsidRPr="00412C5A">
        <w:rPr>
          <w:rFonts w:ascii="Arial" w:hAnsi="Arial" w:cs="Arial"/>
          <w:lang w:val="en-US"/>
        </w:rPr>
        <w:t xml:space="preserve"> JY, </w:t>
      </w:r>
      <w:proofErr w:type="spellStart"/>
      <w:r w:rsidRPr="00412C5A">
        <w:rPr>
          <w:rFonts w:ascii="Arial" w:hAnsi="Arial" w:cs="Arial"/>
          <w:lang w:val="en-US"/>
        </w:rPr>
        <w:t>Nabbe</w:t>
      </w:r>
      <w:proofErr w:type="spellEnd"/>
      <w:r w:rsidRPr="00412C5A">
        <w:rPr>
          <w:rFonts w:ascii="Arial" w:hAnsi="Arial" w:cs="Arial"/>
          <w:lang w:val="en-US"/>
        </w:rPr>
        <w:t xml:space="preserve"> P, </w:t>
      </w:r>
      <w:proofErr w:type="spellStart"/>
      <w:r w:rsidRPr="00412C5A">
        <w:rPr>
          <w:rFonts w:ascii="Arial" w:hAnsi="Arial" w:cs="Arial"/>
          <w:lang w:val="en-US"/>
        </w:rPr>
        <w:t>Manceau</w:t>
      </w:r>
      <w:proofErr w:type="spellEnd"/>
      <w:r w:rsidRPr="00412C5A">
        <w:rPr>
          <w:rFonts w:ascii="Arial" w:hAnsi="Arial" w:cs="Arial"/>
          <w:lang w:val="en-US"/>
        </w:rPr>
        <w:t xml:space="preserve"> B, </w:t>
      </w:r>
      <w:proofErr w:type="spellStart"/>
      <w:r w:rsidRPr="00412C5A">
        <w:rPr>
          <w:rFonts w:ascii="Arial" w:hAnsi="Arial" w:cs="Arial"/>
          <w:lang w:val="en-US"/>
        </w:rPr>
        <w:t>Lygidakis</w:t>
      </w:r>
      <w:proofErr w:type="spellEnd"/>
      <w:r w:rsidRPr="00412C5A">
        <w:rPr>
          <w:rFonts w:ascii="Arial" w:hAnsi="Arial" w:cs="Arial"/>
          <w:lang w:val="en-US"/>
        </w:rPr>
        <w:t xml:space="preserve"> C, </w:t>
      </w:r>
      <w:proofErr w:type="spellStart"/>
      <w:r w:rsidRPr="00412C5A">
        <w:rPr>
          <w:rFonts w:ascii="Arial" w:hAnsi="Arial" w:cs="Arial"/>
          <w:lang w:val="en-US"/>
        </w:rPr>
        <w:t>Doerr</w:t>
      </w:r>
      <w:proofErr w:type="spellEnd"/>
      <w:r w:rsidRPr="00412C5A">
        <w:rPr>
          <w:rFonts w:ascii="Arial" w:hAnsi="Arial" w:cs="Arial"/>
          <w:lang w:val="en-US"/>
        </w:rPr>
        <w:t xml:space="preserve"> C,  </w:t>
      </w:r>
      <w:proofErr w:type="spellStart"/>
      <w:r w:rsidRPr="00412C5A">
        <w:rPr>
          <w:rFonts w:ascii="Arial" w:hAnsi="Arial" w:cs="Arial"/>
          <w:lang w:val="en-US"/>
        </w:rPr>
        <w:t>Lingner</w:t>
      </w:r>
      <w:proofErr w:type="spellEnd"/>
      <w:r w:rsidRPr="00412C5A">
        <w:rPr>
          <w:rFonts w:ascii="Arial" w:hAnsi="Arial" w:cs="Arial"/>
          <w:lang w:val="en-US"/>
        </w:rPr>
        <w:t xml:space="preserve">  H,  et  al.  The  European  General  Practice Research  Network  presents  a  comprehensive  definition of  </w:t>
      </w:r>
      <w:proofErr w:type="spellStart"/>
      <w:r w:rsidRPr="00412C5A">
        <w:rPr>
          <w:rFonts w:ascii="Arial" w:hAnsi="Arial" w:cs="Arial"/>
          <w:lang w:val="en-US"/>
        </w:rPr>
        <w:t>multimorbidity</w:t>
      </w:r>
      <w:proofErr w:type="spellEnd"/>
      <w:r w:rsidRPr="00412C5A">
        <w:rPr>
          <w:rFonts w:ascii="Arial" w:hAnsi="Arial" w:cs="Arial"/>
          <w:lang w:val="en-US"/>
        </w:rPr>
        <w:t xml:space="preserve">  in  family  medicine  and  long  term  care, following  a  systematic  review  of  relevant  literature.  J Am Med Dir. 2013</w:t>
      </w:r>
      <w:proofErr w:type="gramStart"/>
      <w:r w:rsidRPr="00412C5A">
        <w:rPr>
          <w:rFonts w:ascii="Arial" w:hAnsi="Arial" w:cs="Arial"/>
          <w:lang w:val="en-US"/>
        </w:rPr>
        <w:t>;14:319</w:t>
      </w:r>
      <w:proofErr w:type="gramEnd"/>
      <w:r w:rsidRPr="00412C5A">
        <w:rPr>
          <w:rFonts w:ascii="Arial" w:hAnsi="Arial" w:cs="Arial"/>
          <w:lang w:val="en-US"/>
        </w:rPr>
        <w:t xml:space="preserve">-25. </w:t>
      </w:r>
      <w:hyperlink r:id="rId17" w:history="1">
        <w:r w:rsidRPr="00DD65E5">
          <w:rPr>
            <w:rStyle w:val="Hipervnculo"/>
            <w:rFonts w:ascii="Arial" w:hAnsi="Arial" w:cs="Arial"/>
            <w:lang w:val="en-US"/>
          </w:rPr>
          <w:t>http://dx.doi.org/10.1016/j.jamda.2013.01.001</w:t>
        </w:r>
      </w:hyperlink>
    </w:p>
    <w:p w:rsidR="001976ED" w:rsidRDefault="001976ED" w:rsidP="001976ED">
      <w:pPr>
        <w:pStyle w:val="Prrafodelista"/>
        <w:numPr>
          <w:ilvl w:val="0"/>
          <w:numId w:val="13"/>
        </w:numPr>
        <w:spacing w:after="200" w:line="360" w:lineRule="auto"/>
        <w:jc w:val="both"/>
        <w:rPr>
          <w:rFonts w:ascii="Arial" w:hAnsi="Arial" w:cs="Arial"/>
          <w:lang w:val="en-US"/>
        </w:rPr>
      </w:pPr>
      <w:r>
        <w:rPr>
          <w:rFonts w:ascii="Arial" w:hAnsi="Arial" w:cs="Arial"/>
        </w:rPr>
        <w:t xml:space="preserve">Cascudo N, Varona DG, Brenes L. </w:t>
      </w:r>
      <w:r w:rsidRPr="0046221C">
        <w:rPr>
          <w:rFonts w:ascii="Arial" w:hAnsi="Arial" w:cs="Arial"/>
        </w:rPr>
        <w:t xml:space="preserve">Deterioro Cognitivo Leve (DCL) y </w:t>
      </w:r>
      <w:r>
        <w:rPr>
          <w:rFonts w:ascii="Arial" w:hAnsi="Arial" w:cs="Arial"/>
        </w:rPr>
        <w:t>c</w:t>
      </w:r>
      <w:r w:rsidRPr="0046221C">
        <w:rPr>
          <w:rFonts w:ascii="Arial" w:hAnsi="Arial" w:cs="Arial"/>
        </w:rPr>
        <w:t>omorbilidad.</w:t>
      </w:r>
      <w:r>
        <w:rPr>
          <w:rFonts w:ascii="Arial" w:hAnsi="Arial" w:cs="Arial"/>
        </w:rPr>
        <w:t xml:space="preserve"> </w:t>
      </w:r>
      <w:proofErr w:type="spellStart"/>
      <w:r w:rsidRPr="0046221C">
        <w:rPr>
          <w:rFonts w:ascii="Arial" w:hAnsi="Arial" w:cs="Arial"/>
          <w:lang w:val="en-US"/>
        </w:rPr>
        <w:t>GeroInfo</w:t>
      </w:r>
      <w:proofErr w:type="spellEnd"/>
      <w:r w:rsidRPr="0046221C">
        <w:rPr>
          <w:rFonts w:ascii="Arial" w:hAnsi="Arial" w:cs="Arial"/>
          <w:lang w:val="en-US"/>
        </w:rPr>
        <w:t xml:space="preserve"> 2016, Vol.11. No.2. RNPS 2110 ISSN 1816-8450.</w:t>
      </w:r>
    </w:p>
    <w:p w:rsidR="001976ED" w:rsidRPr="0084274B" w:rsidRDefault="001976ED" w:rsidP="001976ED">
      <w:pPr>
        <w:pStyle w:val="Prrafodelista"/>
        <w:widowControl w:val="0"/>
        <w:numPr>
          <w:ilvl w:val="0"/>
          <w:numId w:val="13"/>
        </w:numPr>
        <w:autoSpaceDE w:val="0"/>
        <w:autoSpaceDN w:val="0"/>
        <w:adjustRightInd w:val="0"/>
        <w:spacing w:after="0" w:line="360" w:lineRule="auto"/>
        <w:jc w:val="both"/>
        <w:rPr>
          <w:rFonts w:ascii="Arial" w:hAnsi="Arial" w:cs="Arial"/>
          <w:lang w:val="en-US"/>
        </w:rPr>
      </w:pPr>
      <w:proofErr w:type="spellStart"/>
      <w:r w:rsidRPr="00112058">
        <w:rPr>
          <w:rFonts w:ascii="Arial" w:hAnsi="Arial" w:cs="Arial"/>
          <w:lang w:val="en-US"/>
        </w:rPr>
        <w:t>Berchtold</w:t>
      </w:r>
      <w:proofErr w:type="spellEnd"/>
      <w:r w:rsidRPr="00112058">
        <w:rPr>
          <w:rFonts w:ascii="Arial" w:hAnsi="Arial" w:cs="Arial"/>
          <w:lang w:val="en-US"/>
        </w:rPr>
        <w:t xml:space="preserve"> NC, </w:t>
      </w:r>
      <w:proofErr w:type="spellStart"/>
      <w:r w:rsidRPr="00112058">
        <w:rPr>
          <w:rFonts w:ascii="Arial" w:hAnsi="Arial" w:cs="Arial"/>
          <w:lang w:val="en-US"/>
        </w:rPr>
        <w:t>Cotman</w:t>
      </w:r>
      <w:proofErr w:type="spellEnd"/>
      <w:r w:rsidRPr="00112058">
        <w:rPr>
          <w:rFonts w:ascii="Arial" w:hAnsi="Arial" w:cs="Arial"/>
          <w:lang w:val="en-US"/>
        </w:rPr>
        <w:t xml:space="preserve"> CW. Evolution in the conceptualization of dementia and Alzheimer's disease: Greco-Roman period to the 1960s. </w:t>
      </w:r>
      <w:proofErr w:type="spellStart"/>
      <w:r w:rsidRPr="0084274B">
        <w:rPr>
          <w:rFonts w:ascii="Arial" w:hAnsi="Arial" w:cs="Arial"/>
          <w:lang w:val="en-US"/>
        </w:rPr>
        <w:t>Neurobiol</w:t>
      </w:r>
      <w:proofErr w:type="spellEnd"/>
      <w:r w:rsidRPr="0084274B">
        <w:rPr>
          <w:rFonts w:ascii="Arial" w:hAnsi="Arial" w:cs="Arial"/>
          <w:lang w:val="en-US"/>
        </w:rPr>
        <w:t xml:space="preserve"> of Aging. 1998 May-Jun</w:t>
      </w:r>
      <w:proofErr w:type="gramStart"/>
      <w:r w:rsidRPr="0084274B">
        <w:rPr>
          <w:rFonts w:ascii="Arial" w:hAnsi="Arial" w:cs="Arial"/>
          <w:lang w:val="en-US"/>
        </w:rPr>
        <w:t>;19</w:t>
      </w:r>
      <w:proofErr w:type="gramEnd"/>
      <w:r w:rsidRPr="0084274B">
        <w:rPr>
          <w:rFonts w:ascii="Arial" w:hAnsi="Arial" w:cs="Arial"/>
          <w:lang w:val="en-US"/>
        </w:rPr>
        <w:t>(3):173-89.</w:t>
      </w:r>
    </w:p>
    <w:p w:rsidR="001976ED" w:rsidRPr="000E7650" w:rsidRDefault="001976ED" w:rsidP="001976ED">
      <w:pPr>
        <w:pStyle w:val="Prrafodelista"/>
        <w:numPr>
          <w:ilvl w:val="0"/>
          <w:numId w:val="13"/>
        </w:numPr>
        <w:spacing w:after="200" w:line="360" w:lineRule="auto"/>
        <w:jc w:val="both"/>
        <w:rPr>
          <w:rFonts w:ascii="Arial" w:hAnsi="Arial" w:cs="Arial"/>
          <w:lang w:val="en-US"/>
        </w:rPr>
      </w:pPr>
      <w:r w:rsidRPr="00815442">
        <w:rPr>
          <w:rFonts w:ascii="Arial" w:hAnsi="Arial" w:cs="Arial"/>
          <w:lang w:val="en-US"/>
        </w:rPr>
        <w:t xml:space="preserve">American Psychiatric Association. </w:t>
      </w:r>
      <w:r w:rsidRPr="006A7DB5">
        <w:rPr>
          <w:rFonts w:ascii="Arial" w:hAnsi="Arial" w:cs="Arial"/>
          <w:lang w:val="en-US"/>
        </w:rPr>
        <w:t xml:space="preserve">Diagnostic and Statistical Manual of Mental Disorders. </w:t>
      </w:r>
      <w:r w:rsidRPr="00815442">
        <w:rPr>
          <w:rFonts w:ascii="Arial" w:hAnsi="Arial" w:cs="Arial"/>
        </w:rPr>
        <w:t xml:space="preserve">5th ed. </w:t>
      </w:r>
      <w:r w:rsidRPr="006A7DB5">
        <w:rPr>
          <w:rFonts w:ascii="Arial" w:hAnsi="Arial" w:cs="Arial"/>
        </w:rPr>
        <w:t>Washington DC; 2013.</w:t>
      </w:r>
    </w:p>
    <w:p w:rsidR="001976ED" w:rsidRPr="003F4728" w:rsidRDefault="001976ED" w:rsidP="001976ED">
      <w:pPr>
        <w:pStyle w:val="Prrafodelista"/>
        <w:numPr>
          <w:ilvl w:val="0"/>
          <w:numId w:val="13"/>
        </w:numPr>
        <w:spacing w:after="200" w:line="360" w:lineRule="auto"/>
        <w:jc w:val="both"/>
        <w:rPr>
          <w:rFonts w:ascii="Arial" w:hAnsi="Arial" w:cs="Arial"/>
          <w:lang w:val="en-US"/>
        </w:rPr>
      </w:pPr>
      <w:r w:rsidRPr="00D61A85">
        <w:rPr>
          <w:rFonts w:ascii="Arial" w:hAnsi="Arial" w:cs="Arial"/>
        </w:rPr>
        <w:t>Cano Gutiérrez A, García Cifuentes E. Enfermedad de Alzheimer. Cap. 88. Tratado de Medicina Geriátrica. Fundamentos de la aten</w:t>
      </w:r>
      <w:r w:rsidRPr="00913B0F">
        <w:rPr>
          <w:rFonts w:ascii="Arial" w:hAnsi="Arial" w:cs="Arial"/>
        </w:rPr>
        <w:t xml:space="preserve">ción sanitaria a los </w:t>
      </w:r>
      <w:proofErr w:type="spellStart"/>
      <w:r w:rsidRPr="00913B0F">
        <w:rPr>
          <w:rFonts w:ascii="Arial" w:hAnsi="Arial" w:cs="Arial"/>
        </w:rPr>
        <w:t>mayors</w:t>
      </w:r>
      <w:proofErr w:type="spellEnd"/>
      <w:r w:rsidRPr="00913B0F">
        <w:rPr>
          <w:rFonts w:ascii="Arial" w:hAnsi="Arial" w:cs="Arial"/>
        </w:rPr>
        <w:t xml:space="preserve">. 2da edición. </w:t>
      </w:r>
      <w:proofErr w:type="spellStart"/>
      <w:r>
        <w:rPr>
          <w:rFonts w:ascii="Arial" w:hAnsi="Arial" w:cs="Arial"/>
        </w:rPr>
        <w:t>Elsevier</w:t>
      </w:r>
      <w:proofErr w:type="spellEnd"/>
      <w:r>
        <w:rPr>
          <w:rFonts w:ascii="Arial" w:hAnsi="Arial" w:cs="Arial"/>
        </w:rPr>
        <w:t xml:space="preserve">, 2020: 859-71. </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r w:rsidRPr="00253B8D">
        <w:rPr>
          <w:rFonts w:ascii="Arial" w:hAnsi="Arial" w:cs="Arial"/>
        </w:rPr>
        <w:t>Azarpazhooh</w:t>
      </w:r>
      <w:proofErr w:type="spellEnd"/>
      <w:r w:rsidRPr="00253B8D">
        <w:rPr>
          <w:rFonts w:ascii="Arial" w:hAnsi="Arial" w:cs="Arial"/>
        </w:rPr>
        <w:t xml:space="preserve"> MR, </w:t>
      </w:r>
      <w:proofErr w:type="spellStart"/>
      <w:r w:rsidRPr="00253B8D">
        <w:rPr>
          <w:rFonts w:ascii="Arial" w:hAnsi="Arial" w:cs="Arial"/>
        </w:rPr>
        <w:t>Avan</w:t>
      </w:r>
      <w:proofErr w:type="spellEnd"/>
      <w:r w:rsidRPr="00253B8D">
        <w:rPr>
          <w:rFonts w:ascii="Arial" w:hAnsi="Arial" w:cs="Arial"/>
        </w:rPr>
        <w:t xml:space="preserve"> A, Cipriano LE, et al. </w:t>
      </w:r>
      <w:r w:rsidRPr="00253B8D">
        <w:rPr>
          <w:rFonts w:ascii="Arial" w:hAnsi="Arial" w:cs="Arial"/>
          <w:lang w:val="en-US"/>
        </w:rPr>
        <w:t xml:space="preserve">Concomitant vascular and neurodegenerative pathologies double the risk of dementia. </w:t>
      </w:r>
      <w:proofErr w:type="spellStart"/>
      <w:r w:rsidRPr="00253B8D">
        <w:rPr>
          <w:rFonts w:ascii="Arial" w:hAnsi="Arial" w:cs="Arial"/>
          <w:lang w:val="en-US"/>
        </w:rPr>
        <w:t>Alzheimers</w:t>
      </w:r>
      <w:proofErr w:type="spellEnd"/>
      <w:r w:rsidRPr="00253B8D">
        <w:rPr>
          <w:rFonts w:ascii="Arial" w:hAnsi="Arial" w:cs="Arial"/>
          <w:lang w:val="en-US"/>
        </w:rPr>
        <w:t xml:space="preserve"> Dement 2018</w:t>
      </w:r>
      <w:proofErr w:type="gramStart"/>
      <w:r w:rsidRPr="00253B8D">
        <w:rPr>
          <w:rFonts w:ascii="Arial" w:hAnsi="Arial" w:cs="Arial"/>
          <w:lang w:val="en-US"/>
        </w:rPr>
        <w:t>;14:148</w:t>
      </w:r>
      <w:proofErr w:type="gramEnd"/>
      <w:r w:rsidRPr="00253B8D">
        <w:rPr>
          <w:rFonts w:ascii="Arial" w:hAnsi="Arial" w:cs="Arial"/>
          <w:lang w:val="en-US"/>
        </w:rPr>
        <w:t>-56.</w:t>
      </w:r>
    </w:p>
    <w:p w:rsidR="001976ED" w:rsidRPr="00160F32" w:rsidRDefault="001976ED" w:rsidP="001976ED">
      <w:pPr>
        <w:pStyle w:val="Prrafodelista"/>
        <w:numPr>
          <w:ilvl w:val="0"/>
          <w:numId w:val="13"/>
        </w:numPr>
        <w:spacing w:after="200" w:line="360" w:lineRule="auto"/>
        <w:jc w:val="both"/>
        <w:rPr>
          <w:rFonts w:ascii="Arial" w:hAnsi="Arial" w:cs="Arial"/>
        </w:rPr>
      </w:pPr>
      <w:r w:rsidRPr="00160F32">
        <w:rPr>
          <w:rFonts w:ascii="Arial" w:hAnsi="Arial" w:cs="Arial"/>
        </w:rPr>
        <w:t xml:space="preserve">Gil Gregorio </w:t>
      </w:r>
      <w:r>
        <w:rPr>
          <w:rFonts w:ascii="Arial" w:hAnsi="Arial" w:cs="Arial"/>
        </w:rPr>
        <w:t xml:space="preserve">P, </w:t>
      </w:r>
      <w:r w:rsidRPr="00160F32">
        <w:rPr>
          <w:rFonts w:ascii="Arial" w:hAnsi="Arial" w:cs="Arial"/>
        </w:rPr>
        <w:t>Salas Carrillo</w:t>
      </w:r>
      <w:r>
        <w:rPr>
          <w:rFonts w:ascii="Arial" w:hAnsi="Arial" w:cs="Arial"/>
        </w:rPr>
        <w:t xml:space="preserve"> M. </w:t>
      </w:r>
      <w:r w:rsidRPr="00160F32">
        <w:rPr>
          <w:rFonts w:ascii="Arial" w:hAnsi="Arial" w:cs="Arial"/>
        </w:rPr>
        <w:t>Deterioro cognitivo vascular</w:t>
      </w:r>
      <w:r>
        <w:rPr>
          <w:rFonts w:ascii="Arial" w:hAnsi="Arial" w:cs="Arial"/>
        </w:rPr>
        <w:t>.</w:t>
      </w:r>
      <w:r w:rsidRPr="00C4530D">
        <w:rPr>
          <w:rFonts w:ascii="Arial" w:hAnsi="Arial" w:cs="Arial"/>
          <w:lang w:val="es-ES"/>
        </w:rPr>
        <w:t xml:space="preserve"> </w:t>
      </w:r>
      <w:proofErr w:type="spellStart"/>
      <w:r w:rsidRPr="00160F32">
        <w:rPr>
          <w:rFonts w:ascii="Arial" w:hAnsi="Arial" w:cs="Arial"/>
          <w:lang w:val="en-US"/>
        </w:rPr>
        <w:t>Girouuard</w:t>
      </w:r>
      <w:proofErr w:type="spellEnd"/>
      <w:r w:rsidRPr="00160F32">
        <w:rPr>
          <w:rFonts w:ascii="Arial" w:hAnsi="Arial" w:cs="Arial"/>
          <w:lang w:val="en-US"/>
        </w:rPr>
        <w:t xml:space="preserve"> H, </w:t>
      </w:r>
      <w:proofErr w:type="spellStart"/>
      <w:r w:rsidRPr="00160F32">
        <w:rPr>
          <w:rFonts w:ascii="Arial" w:hAnsi="Arial" w:cs="Arial"/>
          <w:lang w:val="en-US"/>
        </w:rPr>
        <w:t>Munter</w:t>
      </w:r>
      <w:proofErr w:type="spellEnd"/>
      <w:r w:rsidRPr="00160F32">
        <w:rPr>
          <w:rFonts w:ascii="Arial" w:hAnsi="Arial" w:cs="Arial"/>
          <w:lang w:val="en-US"/>
        </w:rPr>
        <w:t xml:space="preserve"> LM. The many faces of vascular cognitive impairment. </w:t>
      </w:r>
      <w:r w:rsidRPr="00160F32">
        <w:rPr>
          <w:rFonts w:ascii="Arial" w:hAnsi="Arial" w:cs="Arial"/>
        </w:rPr>
        <w:t xml:space="preserve">J </w:t>
      </w:r>
      <w:proofErr w:type="spellStart"/>
      <w:r w:rsidRPr="00160F32">
        <w:rPr>
          <w:rFonts w:ascii="Arial" w:hAnsi="Arial" w:cs="Arial"/>
        </w:rPr>
        <w:t>Neurochem</w:t>
      </w:r>
      <w:proofErr w:type="spellEnd"/>
      <w:r w:rsidRPr="00160F32">
        <w:rPr>
          <w:rFonts w:ascii="Arial" w:hAnsi="Arial" w:cs="Arial"/>
        </w:rPr>
        <w:t xml:space="preserve"> 2018</w:t>
      </w:r>
      <w:proofErr w:type="gramStart"/>
      <w:r w:rsidRPr="00160F32">
        <w:rPr>
          <w:rFonts w:ascii="Arial" w:hAnsi="Arial" w:cs="Arial"/>
        </w:rPr>
        <w:t>;144:509</w:t>
      </w:r>
      <w:proofErr w:type="gramEnd"/>
      <w:r w:rsidRPr="00160F32">
        <w:rPr>
          <w:rFonts w:ascii="Arial" w:hAnsi="Arial" w:cs="Arial"/>
        </w:rPr>
        <w:t>-12.</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r w:rsidRPr="0085616B">
        <w:rPr>
          <w:rFonts w:ascii="Arial" w:hAnsi="Arial" w:cs="Arial"/>
          <w:lang w:val="en-US"/>
        </w:rPr>
        <w:t>Gorelik</w:t>
      </w:r>
      <w:proofErr w:type="spellEnd"/>
      <w:r w:rsidRPr="0085616B">
        <w:rPr>
          <w:rFonts w:ascii="Arial" w:hAnsi="Arial" w:cs="Arial"/>
          <w:lang w:val="en-US"/>
        </w:rPr>
        <w:t xml:space="preserve"> PB, </w:t>
      </w:r>
      <w:proofErr w:type="spellStart"/>
      <w:r w:rsidRPr="0085616B">
        <w:rPr>
          <w:rFonts w:ascii="Arial" w:hAnsi="Arial" w:cs="Arial"/>
          <w:lang w:val="en-US"/>
        </w:rPr>
        <w:t>Scuteri</w:t>
      </w:r>
      <w:proofErr w:type="spellEnd"/>
      <w:r w:rsidRPr="0085616B">
        <w:rPr>
          <w:rFonts w:ascii="Arial" w:hAnsi="Arial" w:cs="Arial"/>
          <w:lang w:val="en-US"/>
        </w:rPr>
        <w:t xml:space="preserve"> A, Black SE, et al. Vascular contribution to cognitive impairment and dementia: a statement for healthcare professionals from the American Heart Association/American Stroke Association. Stroke 2011</w:t>
      </w:r>
      <w:proofErr w:type="gramStart"/>
      <w:r w:rsidRPr="0085616B">
        <w:rPr>
          <w:rFonts w:ascii="Arial" w:hAnsi="Arial" w:cs="Arial"/>
          <w:lang w:val="en-US"/>
        </w:rPr>
        <w:t>;42:2672</w:t>
      </w:r>
      <w:proofErr w:type="gramEnd"/>
      <w:r w:rsidRPr="0085616B">
        <w:rPr>
          <w:rFonts w:ascii="Arial" w:hAnsi="Arial" w:cs="Arial"/>
          <w:lang w:val="en-US"/>
        </w:rPr>
        <w:t>-713.</w:t>
      </w:r>
    </w:p>
    <w:p w:rsidR="001976ED" w:rsidRPr="003F4728" w:rsidRDefault="001976ED" w:rsidP="001976ED">
      <w:pPr>
        <w:pStyle w:val="Prrafodelista"/>
        <w:numPr>
          <w:ilvl w:val="0"/>
          <w:numId w:val="13"/>
        </w:numPr>
        <w:spacing w:after="200" w:line="360" w:lineRule="auto"/>
        <w:jc w:val="both"/>
        <w:rPr>
          <w:rFonts w:ascii="Arial" w:hAnsi="Arial" w:cs="Arial"/>
          <w:lang w:val="en-US"/>
        </w:rPr>
      </w:pPr>
      <w:r>
        <w:rPr>
          <w:rFonts w:ascii="Arial" w:hAnsi="Arial" w:cs="Arial"/>
        </w:rPr>
        <w:lastRenderedPageBreak/>
        <w:t xml:space="preserve"> </w:t>
      </w:r>
      <w:r w:rsidRPr="00D61A85">
        <w:rPr>
          <w:rFonts w:ascii="Arial" w:hAnsi="Arial" w:cs="Arial"/>
        </w:rPr>
        <w:t>Cap. 8</w:t>
      </w:r>
      <w:r>
        <w:rPr>
          <w:rFonts w:ascii="Arial" w:hAnsi="Arial" w:cs="Arial"/>
        </w:rPr>
        <w:t>9</w:t>
      </w:r>
      <w:r w:rsidRPr="00D61A85">
        <w:rPr>
          <w:rFonts w:ascii="Arial" w:hAnsi="Arial" w:cs="Arial"/>
        </w:rPr>
        <w:t>. Tratado de Medicina Geriátrica. Fundamentos de la aten</w:t>
      </w:r>
      <w:r w:rsidRPr="00160F32">
        <w:rPr>
          <w:rFonts w:ascii="Arial" w:hAnsi="Arial" w:cs="Arial"/>
        </w:rPr>
        <w:t xml:space="preserve">ción sanitaria a los </w:t>
      </w:r>
      <w:proofErr w:type="spellStart"/>
      <w:r w:rsidRPr="00160F32">
        <w:rPr>
          <w:rFonts w:ascii="Arial" w:hAnsi="Arial" w:cs="Arial"/>
        </w:rPr>
        <w:t>mayors</w:t>
      </w:r>
      <w:proofErr w:type="spellEnd"/>
      <w:r w:rsidRPr="00160F32">
        <w:rPr>
          <w:rFonts w:ascii="Arial" w:hAnsi="Arial" w:cs="Arial"/>
        </w:rPr>
        <w:t xml:space="preserve">. 2da edición. </w:t>
      </w:r>
      <w:proofErr w:type="spellStart"/>
      <w:r>
        <w:rPr>
          <w:rFonts w:ascii="Arial" w:hAnsi="Arial" w:cs="Arial"/>
        </w:rPr>
        <w:t>Elsevier</w:t>
      </w:r>
      <w:proofErr w:type="spellEnd"/>
      <w:r>
        <w:rPr>
          <w:rFonts w:ascii="Arial" w:hAnsi="Arial" w:cs="Arial"/>
        </w:rPr>
        <w:t xml:space="preserve">, 2020:873-78. </w:t>
      </w:r>
    </w:p>
    <w:p w:rsidR="001976ED" w:rsidRDefault="001976ED" w:rsidP="001976ED">
      <w:pPr>
        <w:pStyle w:val="Prrafodelista"/>
        <w:numPr>
          <w:ilvl w:val="0"/>
          <w:numId w:val="13"/>
        </w:numPr>
        <w:spacing w:after="200" w:line="360" w:lineRule="auto"/>
        <w:jc w:val="both"/>
        <w:rPr>
          <w:rFonts w:ascii="Arial" w:hAnsi="Arial" w:cs="Arial"/>
          <w:lang w:val="en-US"/>
        </w:rPr>
      </w:pPr>
      <w:proofErr w:type="spellStart"/>
      <w:r w:rsidRPr="0085616B">
        <w:rPr>
          <w:rFonts w:ascii="Arial" w:hAnsi="Arial" w:cs="Arial"/>
        </w:rPr>
        <w:t>Sachdev</w:t>
      </w:r>
      <w:proofErr w:type="spellEnd"/>
      <w:r w:rsidRPr="0085616B">
        <w:rPr>
          <w:rFonts w:ascii="Arial" w:hAnsi="Arial" w:cs="Arial"/>
        </w:rPr>
        <w:t xml:space="preserve"> P, </w:t>
      </w:r>
      <w:proofErr w:type="spellStart"/>
      <w:r w:rsidRPr="0085616B">
        <w:rPr>
          <w:rFonts w:ascii="Arial" w:hAnsi="Arial" w:cs="Arial"/>
        </w:rPr>
        <w:t>Kalaria</w:t>
      </w:r>
      <w:proofErr w:type="spellEnd"/>
      <w:r w:rsidRPr="0085616B">
        <w:rPr>
          <w:rFonts w:ascii="Arial" w:hAnsi="Arial" w:cs="Arial"/>
        </w:rPr>
        <w:t xml:space="preserve"> R, O’Brien J, et al. </w:t>
      </w:r>
      <w:r w:rsidRPr="0085616B">
        <w:rPr>
          <w:rFonts w:ascii="Arial" w:hAnsi="Arial" w:cs="Arial"/>
          <w:lang w:val="en-US"/>
        </w:rPr>
        <w:t xml:space="preserve">Diagnostic Criteria for Vascular Cognitive Disorders a VAS-COG statement. Alzheimer Dis </w:t>
      </w:r>
      <w:proofErr w:type="spellStart"/>
      <w:r w:rsidRPr="0085616B">
        <w:rPr>
          <w:rFonts w:ascii="Arial" w:hAnsi="Arial" w:cs="Arial"/>
          <w:lang w:val="en-US"/>
        </w:rPr>
        <w:t>Assoc</w:t>
      </w:r>
      <w:proofErr w:type="spellEnd"/>
      <w:r w:rsidRPr="0085616B">
        <w:rPr>
          <w:rFonts w:ascii="Arial" w:hAnsi="Arial" w:cs="Arial"/>
          <w:lang w:val="en-US"/>
        </w:rPr>
        <w:t xml:space="preserve"> </w:t>
      </w:r>
      <w:proofErr w:type="spellStart"/>
      <w:r w:rsidRPr="0085616B">
        <w:rPr>
          <w:rFonts w:ascii="Arial" w:hAnsi="Arial" w:cs="Arial"/>
          <w:lang w:val="en-US"/>
        </w:rPr>
        <w:t>Disord</w:t>
      </w:r>
      <w:proofErr w:type="spellEnd"/>
      <w:r w:rsidRPr="0085616B">
        <w:rPr>
          <w:rFonts w:ascii="Arial" w:hAnsi="Arial" w:cs="Arial"/>
          <w:lang w:val="en-US"/>
        </w:rPr>
        <w:t xml:space="preserve"> 2014</w:t>
      </w:r>
      <w:proofErr w:type="gramStart"/>
      <w:r w:rsidRPr="0085616B">
        <w:rPr>
          <w:rFonts w:ascii="Arial" w:hAnsi="Arial" w:cs="Arial"/>
          <w:lang w:val="en-US"/>
        </w:rPr>
        <w:t>;28:206</w:t>
      </w:r>
      <w:proofErr w:type="gramEnd"/>
      <w:r w:rsidRPr="0085616B">
        <w:rPr>
          <w:rFonts w:ascii="Arial" w:hAnsi="Arial" w:cs="Arial"/>
          <w:lang w:val="en-US"/>
        </w:rPr>
        <w:t>-18.</w:t>
      </w:r>
    </w:p>
    <w:p w:rsidR="001976ED" w:rsidRPr="00A644AC" w:rsidRDefault="001976ED" w:rsidP="001976ED">
      <w:pPr>
        <w:pStyle w:val="Prrafodelista"/>
        <w:numPr>
          <w:ilvl w:val="0"/>
          <w:numId w:val="13"/>
        </w:numPr>
        <w:spacing w:after="200" w:line="360" w:lineRule="auto"/>
        <w:jc w:val="both"/>
        <w:rPr>
          <w:rFonts w:ascii="Arial" w:hAnsi="Arial" w:cs="Arial"/>
          <w:lang w:val="en-US"/>
        </w:rPr>
      </w:pPr>
      <w:proofErr w:type="spellStart"/>
      <w:proofErr w:type="gramStart"/>
      <w:r w:rsidRPr="00A644AC">
        <w:rPr>
          <w:rFonts w:ascii="Arial" w:hAnsi="Arial" w:cs="Arial"/>
          <w:lang w:val="en-US"/>
        </w:rPr>
        <w:t>Erol</w:t>
      </w:r>
      <w:proofErr w:type="spellEnd"/>
      <w:r w:rsidRPr="00A644AC">
        <w:rPr>
          <w:rFonts w:ascii="Arial" w:hAnsi="Arial" w:cs="Arial"/>
          <w:lang w:val="en-US"/>
        </w:rPr>
        <w:t xml:space="preserve">  R</w:t>
      </w:r>
      <w:proofErr w:type="gramEnd"/>
      <w:r w:rsidRPr="00A644AC">
        <w:rPr>
          <w:rFonts w:ascii="Arial" w:hAnsi="Arial" w:cs="Arial"/>
          <w:lang w:val="en-US"/>
        </w:rPr>
        <w:t xml:space="preserve">,  </w:t>
      </w:r>
      <w:proofErr w:type="spellStart"/>
      <w:r w:rsidRPr="00A644AC">
        <w:rPr>
          <w:rFonts w:ascii="Arial" w:hAnsi="Arial" w:cs="Arial"/>
          <w:lang w:val="en-US"/>
        </w:rPr>
        <w:t>Brooker</w:t>
      </w:r>
      <w:proofErr w:type="spellEnd"/>
      <w:r w:rsidRPr="00A644AC">
        <w:rPr>
          <w:rFonts w:ascii="Arial" w:hAnsi="Arial" w:cs="Arial"/>
          <w:lang w:val="en-US"/>
        </w:rPr>
        <w:t xml:space="preserve">  D,  Peel  E.  </w:t>
      </w:r>
      <w:proofErr w:type="gramStart"/>
      <w:r w:rsidRPr="00A644AC">
        <w:rPr>
          <w:rFonts w:ascii="Arial" w:hAnsi="Arial" w:cs="Arial"/>
          <w:lang w:val="en-US"/>
        </w:rPr>
        <w:t>Women  and</w:t>
      </w:r>
      <w:proofErr w:type="gramEnd"/>
      <w:r w:rsidRPr="00A644AC">
        <w:rPr>
          <w:rFonts w:ascii="Arial" w:hAnsi="Arial" w:cs="Arial"/>
          <w:lang w:val="en-US"/>
        </w:rPr>
        <w:t xml:space="preserve">  Dementia:  A  global  research  review. London: </w:t>
      </w:r>
      <w:proofErr w:type="gramStart"/>
      <w:r w:rsidRPr="00A644AC">
        <w:rPr>
          <w:rFonts w:ascii="Arial" w:hAnsi="Arial" w:cs="Arial"/>
          <w:lang w:val="en-US"/>
        </w:rPr>
        <w:t>Alzheimer’s Disease</w:t>
      </w:r>
      <w:proofErr w:type="gramEnd"/>
      <w:r w:rsidRPr="00A644AC">
        <w:rPr>
          <w:rFonts w:ascii="Arial" w:hAnsi="Arial" w:cs="Arial"/>
          <w:lang w:val="en-US"/>
        </w:rPr>
        <w:t xml:space="preserve"> International (ADI); 2015.</w:t>
      </w:r>
    </w:p>
    <w:p w:rsidR="001976ED" w:rsidRPr="00E422AC" w:rsidRDefault="001976ED" w:rsidP="001976ED">
      <w:pPr>
        <w:pStyle w:val="Prrafodelista"/>
        <w:numPr>
          <w:ilvl w:val="0"/>
          <w:numId w:val="13"/>
        </w:numPr>
        <w:spacing w:after="200" w:line="360" w:lineRule="auto"/>
        <w:jc w:val="both"/>
        <w:rPr>
          <w:rFonts w:ascii="Arial" w:hAnsi="Arial" w:cs="Arial"/>
        </w:rPr>
      </w:pPr>
      <w:r>
        <w:rPr>
          <w:rFonts w:ascii="Arial" w:hAnsi="Arial" w:cs="Arial"/>
        </w:rPr>
        <w:t xml:space="preserve">Espín JC. </w:t>
      </w:r>
      <w:r w:rsidRPr="00E422AC">
        <w:rPr>
          <w:rFonts w:ascii="Arial" w:hAnsi="Arial" w:cs="Arial"/>
        </w:rPr>
        <w:t>Factores de riesgo asociados a pacientes con enfermedad de Alzheimer y sus cuidadores principales</w:t>
      </w:r>
      <w:r>
        <w:rPr>
          <w:rFonts w:ascii="Arial" w:hAnsi="Arial" w:cs="Arial"/>
        </w:rPr>
        <w:t xml:space="preserve">. </w:t>
      </w:r>
      <w:r w:rsidRPr="00E422AC">
        <w:rPr>
          <w:rFonts w:ascii="Arial" w:hAnsi="Arial" w:cs="Arial"/>
        </w:rPr>
        <w:t>Revista Cubana de Medicina General Integral 2020</w:t>
      </w:r>
      <w:proofErr w:type="gramStart"/>
      <w:r w:rsidRPr="00E422AC">
        <w:rPr>
          <w:rFonts w:ascii="Arial" w:hAnsi="Arial" w:cs="Arial"/>
        </w:rPr>
        <w:t>;36</w:t>
      </w:r>
      <w:proofErr w:type="gramEnd"/>
      <w:r w:rsidRPr="00E422AC">
        <w:rPr>
          <w:rFonts w:ascii="Arial" w:hAnsi="Arial" w:cs="Arial"/>
        </w:rPr>
        <w:t>(1):e1138</w:t>
      </w:r>
      <w:r>
        <w:rPr>
          <w:rFonts w:ascii="Arial" w:hAnsi="Arial" w:cs="Arial"/>
        </w:rPr>
        <w:t>.</w:t>
      </w:r>
    </w:p>
    <w:p w:rsidR="001976ED" w:rsidRPr="001F45E3" w:rsidRDefault="001976ED" w:rsidP="001976ED">
      <w:pPr>
        <w:pStyle w:val="Prrafodelista"/>
        <w:numPr>
          <w:ilvl w:val="0"/>
          <w:numId w:val="13"/>
        </w:numPr>
        <w:spacing w:after="0" w:line="360" w:lineRule="auto"/>
        <w:jc w:val="both"/>
        <w:rPr>
          <w:rFonts w:ascii="Arial" w:hAnsi="Arial" w:cs="Arial"/>
          <w:color w:val="000000"/>
        </w:rPr>
      </w:pPr>
      <w:r w:rsidRPr="001F45E3">
        <w:rPr>
          <w:rFonts w:ascii="Arial" w:hAnsi="Arial" w:cs="Arial"/>
          <w:color w:val="000000"/>
        </w:rPr>
        <w:t xml:space="preserve">Barranco Quintana JL, </w:t>
      </w:r>
      <w:proofErr w:type="spellStart"/>
      <w:r w:rsidRPr="001F45E3">
        <w:rPr>
          <w:rFonts w:ascii="Arial" w:hAnsi="Arial" w:cs="Arial"/>
          <w:color w:val="000000"/>
        </w:rPr>
        <w:t>Allam</w:t>
      </w:r>
      <w:proofErr w:type="spellEnd"/>
      <w:r w:rsidRPr="001F45E3">
        <w:rPr>
          <w:rFonts w:ascii="Arial" w:hAnsi="Arial" w:cs="Arial"/>
          <w:color w:val="000000"/>
        </w:rPr>
        <w:t xml:space="preserve"> MF, Del Castillo AS, Navajas RFC. Factores de riesgo de la enfermedad de Alzheimer. </w:t>
      </w:r>
      <w:proofErr w:type="spellStart"/>
      <w:r w:rsidRPr="001F45E3">
        <w:rPr>
          <w:rFonts w:ascii="Arial" w:hAnsi="Arial" w:cs="Arial"/>
          <w:color w:val="000000"/>
        </w:rPr>
        <w:t>Rev</w:t>
      </w:r>
      <w:proofErr w:type="spellEnd"/>
      <w:r w:rsidRPr="001F45E3">
        <w:rPr>
          <w:rFonts w:ascii="Arial" w:hAnsi="Arial" w:cs="Arial"/>
          <w:color w:val="000000"/>
        </w:rPr>
        <w:t xml:space="preserve"> </w:t>
      </w:r>
      <w:proofErr w:type="spellStart"/>
      <w:r w:rsidRPr="001F45E3">
        <w:rPr>
          <w:rFonts w:ascii="Arial" w:hAnsi="Arial" w:cs="Arial"/>
          <w:color w:val="000000"/>
        </w:rPr>
        <w:t>Neurol</w:t>
      </w:r>
      <w:proofErr w:type="spellEnd"/>
      <w:r w:rsidRPr="001F45E3">
        <w:rPr>
          <w:rFonts w:ascii="Arial" w:hAnsi="Arial" w:cs="Arial"/>
          <w:color w:val="000000"/>
        </w:rPr>
        <w:t>. 2005 [acceso: 23/05/2019]</w:t>
      </w:r>
      <w:proofErr w:type="gramStart"/>
      <w:r w:rsidRPr="001F45E3">
        <w:rPr>
          <w:rFonts w:ascii="Arial" w:hAnsi="Arial" w:cs="Arial"/>
          <w:color w:val="000000"/>
        </w:rPr>
        <w:t>;40</w:t>
      </w:r>
      <w:proofErr w:type="gramEnd"/>
      <w:r w:rsidRPr="001F45E3">
        <w:rPr>
          <w:rFonts w:ascii="Arial" w:hAnsi="Arial" w:cs="Arial"/>
          <w:color w:val="000000"/>
        </w:rPr>
        <w:t>(10):613-8.</w:t>
      </w:r>
    </w:p>
    <w:p w:rsidR="001976ED" w:rsidRPr="00D771E3" w:rsidRDefault="001976ED" w:rsidP="001976ED">
      <w:pPr>
        <w:pStyle w:val="Prrafodelista"/>
        <w:numPr>
          <w:ilvl w:val="0"/>
          <w:numId w:val="13"/>
        </w:numPr>
        <w:spacing w:after="0" w:line="360" w:lineRule="auto"/>
        <w:jc w:val="both"/>
        <w:rPr>
          <w:rFonts w:ascii="Arial" w:hAnsi="Arial" w:cs="Arial"/>
          <w:color w:val="000000"/>
          <w:lang w:val="en-US"/>
        </w:rPr>
      </w:pPr>
      <w:proofErr w:type="spellStart"/>
      <w:r w:rsidRPr="00D771E3">
        <w:rPr>
          <w:rFonts w:ascii="Arial" w:hAnsi="Arial" w:cs="Arial"/>
          <w:color w:val="000000"/>
          <w:lang w:val="en-US"/>
        </w:rPr>
        <w:t>Gilsanz</w:t>
      </w:r>
      <w:proofErr w:type="spellEnd"/>
      <w:r w:rsidRPr="00D771E3">
        <w:rPr>
          <w:rFonts w:ascii="Arial" w:hAnsi="Arial" w:cs="Arial"/>
          <w:color w:val="000000"/>
          <w:lang w:val="en-US"/>
        </w:rPr>
        <w:t xml:space="preserve">, P, Lee C, </w:t>
      </w:r>
      <w:proofErr w:type="spellStart"/>
      <w:r w:rsidRPr="00D771E3">
        <w:rPr>
          <w:rFonts w:ascii="Arial" w:hAnsi="Arial" w:cs="Arial"/>
          <w:color w:val="000000"/>
          <w:lang w:val="en-US"/>
        </w:rPr>
        <w:t>Corrada</w:t>
      </w:r>
      <w:proofErr w:type="spellEnd"/>
      <w:r w:rsidRPr="00D771E3">
        <w:rPr>
          <w:rFonts w:ascii="Arial" w:hAnsi="Arial" w:cs="Arial"/>
          <w:color w:val="000000"/>
          <w:lang w:val="en-US"/>
        </w:rPr>
        <w:t xml:space="preserve"> M.M, </w:t>
      </w:r>
      <w:proofErr w:type="spellStart"/>
      <w:r w:rsidRPr="00D771E3">
        <w:rPr>
          <w:rFonts w:ascii="Arial" w:hAnsi="Arial" w:cs="Arial"/>
          <w:color w:val="000000"/>
          <w:lang w:val="en-US"/>
        </w:rPr>
        <w:t>Kawas</w:t>
      </w:r>
      <w:proofErr w:type="spellEnd"/>
      <w:r w:rsidRPr="00D771E3">
        <w:rPr>
          <w:rFonts w:ascii="Arial" w:hAnsi="Arial" w:cs="Arial"/>
          <w:color w:val="000000"/>
          <w:lang w:val="en-US"/>
        </w:rPr>
        <w:t xml:space="preserve"> C.H, </w:t>
      </w:r>
      <w:proofErr w:type="spellStart"/>
      <w:r w:rsidRPr="00D771E3">
        <w:rPr>
          <w:rFonts w:ascii="Arial" w:hAnsi="Arial" w:cs="Arial"/>
          <w:color w:val="000000"/>
          <w:lang w:val="en-US"/>
        </w:rPr>
        <w:t>Quesenberry</w:t>
      </w:r>
      <w:proofErr w:type="spellEnd"/>
      <w:r w:rsidRPr="00D771E3">
        <w:rPr>
          <w:rFonts w:ascii="Arial" w:hAnsi="Arial" w:cs="Arial"/>
          <w:color w:val="000000"/>
          <w:lang w:val="en-US"/>
        </w:rPr>
        <w:t xml:space="preserve"> C.P, </w:t>
      </w:r>
      <w:proofErr w:type="spellStart"/>
      <w:r w:rsidRPr="00D771E3">
        <w:rPr>
          <w:rFonts w:ascii="Arial" w:hAnsi="Arial" w:cs="Arial"/>
          <w:color w:val="000000"/>
          <w:lang w:val="en-US"/>
        </w:rPr>
        <w:t>Whitmer</w:t>
      </w:r>
      <w:proofErr w:type="spellEnd"/>
      <w:r w:rsidRPr="00D771E3">
        <w:rPr>
          <w:rFonts w:ascii="Arial" w:hAnsi="Arial" w:cs="Arial"/>
          <w:color w:val="000000"/>
          <w:lang w:val="en-US"/>
        </w:rPr>
        <w:t xml:space="preserve"> R.A. Reproductive period and risk of dementia in a diverse cohort of health care members. Neurology </w:t>
      </w:r>
      <w:r w:rsidRPr="00D771E3">
        <w:rPr>
          <w:rFonts w:ascii="Arial" w:hAnsi="Arial" w:cs="Arial"/>
          <w:color w:val="000000"/>
        </w:rPr>
        <w:t>2019:</w:t>
      </w:r>
      <w:r w:rsidRPr="00D771E3">
        <w:rPr>
          <w:rFonts w:ascii="Arial" w:hAnsi="Arial" w:cs="Arial"/>
          <w:color w:val="000000"/>
          <w:lang w:val="en-US"/>
        </w:rPr>
        <w:t>92 (17), e2005–e2014.</w:t>
      </w:r>
      <w:r>
        <w:rPr>
          <w:rFonts w:ascii="Arial" w:hAnsi="Arial" w:cs="Arial"/>
          <w:color w:val="000000"/>
          <w:lang w:val="en-US"/>
        </w:rPr>
        <w:t xml:space="preserve"> </w:t>
      </w:r>
      <w:proofErr w:type="spellStart"/>
      <w:r>
        <w:rPr>
          <w:rFonts w:ascii="Arial" w:hAnsi="Arial" w:cs="Arial"/>
          <w:color w:val="000000"/>
          <w:lang w:val="en-US"/>
        </w:rPr>
        <w:t>Disponible</w:t>
      </w:r>
      <w:proofErr w:type="spellEnd"/>
      <w:r>
        <w:rPr>
          <w:rFonts w:ascii="Arial" w:hAnsi="Arial" w:cs="Arial"/>
          <w:color w:val="000000"/>
          <w:lang w:val="en-US"/>
        </w:rPr>
        <w:t xml:space="preserve"> en:</w:t>
      </w:r>
      <w:r w:rsidRPr="00D771E3">
        <w:rPr>
          <w:rFonts w:ascii="Arial" w:hAnsi="Arial" w:cs="Arial"/>
          <w:color w:val="000000"/>
          <w:lang w:val="en-US"/>
        </w:rPr>
        <w:t xml:space="preserve"> https://doi.org/10.1212/</w:t>
      </w:r>
      <w:r>
        <w:rPr>
          <w:rFonts w:ascii="Arial" w:hAnsi="Arial" w:cs="Arial"/>
          <w:color w:val="000000"/>
          <w:lang w:val="en-US"/>
        </w:rPr>
        <w:t>WNL.0000000000007326.</w:t>
      </w:r>
    </w:p>
    <w:p w:rsidR="001976ED" w:rsidRPr="004947C0" w:rsidRDefault="001976ED" w:rsidP="001976ED">
      <w:pPr>
        <w:pStyle w:val="Prrafodelista"/>
        <w:numPr>
          <w:ilvl w:val="0"/>
          <w:numId w:val="13"/>
        </w:numPr>
        <w:spacing w:after="0" w:line="360" w:lineRule="auto"/>
        <w:jc w:val="both"/>
        <w:rPr>
          <w:rFonts w:ascii="Arial" w:hAnsi="Arial" w:cs="Arial"/>
          <w:color w:val="000000"/>
          <w:lang w:val="en-US"/>
        </w:rPr>
      </w:pPr>
      <w:r w:rsidRPr="004947C0">
        <w:rPr>
          <w:rFonts w:ascii="Arial" w:hAnsi="Arial" w:cs="Arial"/>
          <w:color w:val="000000"/>
          <w:lang w:val="en-US"/>
        </w:rPr>
        <w:t xml:space="preserve">Koran, M.E.I., Wagener, M., </w:t>
      </w:r>
      <w:proofErr w:type="spellStart"/>
      <w:r w:rsidRPr="004947C0">
        <w:rPr>
          <w:rFonts w:ascii="Arial" w:hAnsi="Arial" w:cs="Arial"/>
          <w:color w:val="000000"/>
          <w:lang w:val="en-US"/>
        </w:rPr>
        <w:t>Hohman</w:t>
      </w:r>
      <w:proofErr w:type="spellEnd"/>
      <w:r w:rsidRPr="004947C0">
        <w:rPr>
          <w:rFonts w:ascii="Arial" w:hAnsi="Arial" w:cs="Arial"/>
          <w:color w:val="000000"/>
          <w:lang w:val="en-US"/>
        </w:rPr>
        <w:t>, T.J., Alzheimer’s Neuroimaging Initiative, 2017. Sex differences in the association between AD biomarkers and cognitive decline. Brain Imaging and Behavior 11 (1), 205–213. http</w:t>
      </w:r>
      <w:r>
        <w:rPr>
          <w:rFonts w:ascii="Arial" w:hAnsi="Arial" w:cs="Arial"/>
          <w:color w:val="000000"/>
          <w:lang w:val="en-US"/>
        </w:rPr>
        <w:t>s://doi.org/10.1007/s11682-016-</w:t>
      </w:r>
      <w:r w:rsidRPr="004947C0">
        <w:rPr>
          <w:rFonts w:ascii="Arial" w:hAnsi="Arial" w:cs="Arial"/>
          <w:color w:val="000000"/>
          <w:lang w:val="en-US"/>
        </w:rPr>
        <w:t>9523-8.</w:t>
      </w:r>
    </w:p>
    <w:p w:rsidR="001976ED" w:rsidRPr="002559FA" w:rsidRDefault="001976ED" w:rsidP="001976ED">
      <w:pPr>
        <w:pStyle w:val="Prrafodelista"/>
        <w:numPr>
          <w:ilvl w:val="0"/>
          <w:numId w:val="13"/>
        </w:numPr>
        <w:spacing w:after="0" w:line="360" w:lineRule="auto"/>
        <w:jc w:val="both"/>
        <w:rPr>
          <w:rFonts w:ascii="Arial" w:hAnsi="Arial" w:cs="Arial"/>
          <w:color w:val="000000"/>
          <w:lang w:val="en-US"/>
        </w:rPr>
      </w:pPr>
      <w:proofErr w:type="spellStart"/>
      <w:r w:rsidRPr="002559FA">
        <w:rPr>
          <w:rFonts w:ascii="Arial" w:hAnsi="Arial" w:cs="Arial"/>
          <w:color w:val="000000"/>
          <w:lang w:val="en-US"/>
        </w:rPr>
        <w:t>Littlejohns</w:t>
      </w:r>
      <w:proofErr w:type="spellEnd"/>
      <w:r w:rsidRPr="002559FA">
        <w:rPr>
          <w:rFonts w:ascii="Arial" w:hAnsi="Arial" w:cs="Arial"/>
          <w:color w:val="000000"/>
          <w:lang w:val="en-US"/>
        </w:rPr>
        <w:t xml:space="preserve"> TJ, Henley WE, Lang IA, </w:t>
      </w:r>
      <w:proofErr w:type="spellStart"/>
      <w:r w:rsidRPr="002559FA">
        <w:rPr>
          <w:rFonts w:ascii="Arial" w:hAnsi="Arial" w:cs="Arial"/>
          <w:color w:val="000000"/>
          <w:lang w:val="en-US"/>
        </w:rPr>
        <w:t>Annweiler</w:t>
      </w:r>
      <w:proofErr w:type="spellEnd"/>
      <w:r w:rsidRPr="002559FA">
        <w:rPr>
          <w:rFonts w:ascii="Arial" w:hAnsi="Arial" w:cs="Arial"/>
          <w:color w:val="000000"/>
          <w:lang w:val="en-US"/>
        </w:rPr>
        <w:t xml:space="preserve"> C, </w:t>
      </w:r>
      <w:proofErr w:type="spellStart"/>
      <w:r w:rsidRPr="002559FA">
        <w:rPr>
          <w:rFonts w:ascii="Arial" w:hAnsi="Arial" w:cs="Arial"/>
          <w:color w:val="000000"/>
          <w:lang w:val="en-US"/>
        </w:rPr>
        <w:t>Beauchet</w:t>
      </w:r>
      <w:proofErr w:type="spellEnd"/>
      <w:r w:rsidRPr="002559FA">
        <w:rPr>
          <w:rFonts w:ascii="Arial" w:hAnsi="Arial" w:cs="Arial"/>
          <w:color w:val="000000"/>
          <w:lang w:val="en-US"/>
        </w:rPr>
        <w:t xml:space="preserve"> O, Chaves PH, et al. Vitamin D and the risk of dementia and Alzheimer disease. Neurology</w:t>
      </w:r>
      <w:r>
        <w:rPr>
          <w:rFonts w:ascii="Arial" w:hAnsi="Arial" w:cs="Arial"/>
          <w:color w:val="000000"/>
          <w:lang w:val="en-US"/>
        </w:rPr>
        <w:t>2014</w:t>
      </w:r>
      <w:proofErr w:type="gramStart"/>
      <w:r>
        <w:rPr>
          <w:rFonts w:ascii="Arial" w:hAnsi="Arial" w:cs="Arial"/>
          <w:color w:val="000000"/>
          <w:lang w:val="en-US"/>
        </w:rPr>
        <w:t>;83</w:t>
      </w:r>
      <w:proofErr w:type="gramEnd"/>
      <w:r>
        <w:rPr>
          <w:rFonts w:ascii="Arial" w:hAnsi="Arial" w:cs="Arial"/>
          <w:color w:val="000000"/>
          <w:lang w:val="en-US"/>
        </w:rPr>
        <w:t>(10):920-</w:t>
      </w:r>
      <w:r w:rsidRPr="002559FA">
        <w:rPr>
          <w:rFonts w:ascii="Arial" w:hAnsi="Arial" w:cs="Arial"/>
          <w:color w:val="000000"/>
          <w:lang w:val="en-US"/>
        </w:rPr>
        <w:t>8.</w:t>
      </w:r>
    </w:p>
    <w:p w:rsidR="001976ED" w:rsidRPr="008C7605" w:rsidRDefault="001976ED" w:rsidP="001976ED">
      <w:pPr>
        <w:pStyle w:val="Prrafodelista"/>
        <w:numPr>
          <w:ilvl w:val="0"/>
          <w:numId w:val="13"/>
        </w:numPr>
        <w:spacing w:after="0" w:line="360" w:lineRule="auto"/>
        <w:jc w:val="both"/>
        <w:rPr>
          <w:rFonts w:ascii="Arial" w:hAnsi="Arial" w:cs="Arial"/>
          <w:lang w:val="en-US"/>
        </w:rPr>
      </w:pPr>
      <w:proofErr w:type="spellStart"/>
      <w:proofErr w:type="gramStart"/>
      <w:r w:rsidRPr="008C7605">
        <w:rPr>
          <w:rFonts w:ascii="Arial" w:hAnsi="Arial" w:cs="Arial"/>
          <w:lang w:val="en-US"/>
        </w:rPr>
        <w:t>Medaglia</w:t>
      </w:r>
      <w:proofErr w:type="spellEnd"/>
      <w:r w:rsidRPr="008C7605">
        <w:rPr>
          <w:rFonts w:ascii="Arial" w:hAnsi="Arial" w:cs="Arial"/>
          <w:lang w:val="en-US"/>
        </w:rPr>
        <w:t xml:space="preserve">  JD</w:t>
      </w:r>
      <w:proofErr w:type="gramEnd"/>
      <w:r w:rsidRPr="008C7605">
        <w:rPr>
          <w:rFonts w:ascii="Arial" w:hAnsi="Arial" w:cs="Arial"/>
          <w:lang w:val="en-US"/>
        </w:rPr>
        <w:t xml:space="preserve">,  </w:t>
      </w:r>
      <w:proofErr w:type="spellStart"/>
      <w:r w:rsidRPr="008C7605">
        <w:rPr>
          <w:rFonts w:ascii="Arial" w:hAnsi="Arial" w:cs="Arial"/>
          <w:lang w:val="en-US"/>
        </w:rPr>
        <w:t>Pasqualetti</w:t>
      </w:r>
      <w:proofErr w:type="spellEnd"/>
      <w:r w:rsidRPr="008C7605">
        <w:rPr>
          <w:rFonts w:ascii="Arial" w:hAnsi="Arial" w:cs="Arial"/>
          <w:lang w:val="en-US"/>
        </w:rPr>
        <w:t xml:space="preserve">  F,  Hamilton  RH,  Thompson-</w:t>
      </w:r>
      <w:proofErr w:type="spellStart"/>
      <w:r w:rsidRPr="008C7605">
        <w:rPr>
          <w:rFonts w:ascii="Arial" w:hAnsi="Arial" w:cs="Arial"/>
          <w:lang w:val="en-US"/>
        </w:rPr>
        <w:t>Schill</w:t>
      </w:r>
      <w:proofErr w:type="spellEnd"/>
      <w:r w:rsidRPr="008C7605">
        <w:rPr>
          <w:rFonts w:ascii="Arial" w:hAnsi="Arial" w:cs="Arial"/>
          <w:lang w:val="en-US"/>
        </w:rPr>
        <w:t xml:space="preserve"> SL, Bassett DS. Brain and Cognitive Reserve: </w:t>
      </w:r>
      <w:proofErr w:type="gramStart"/>
      <w:r w:rsidRPr="008C7605">
        <w:rPr>
          <w:rFonts w:ascii="Arial" w:hAnsi="Arial" w:cs="Arial"/>
          <w:lang w:val="en-US"/>
        </w:rPr>
        <w:t>Translation  via</w:t>
      </w:r>
      <w:proofErr w:type="gramEnd"/>
      <w:r w:rsidRPr="008C7605">
        <w:rPr>
          <w:rFonts w:ascii="Arial" w:hAnsi="Arial" w:cs="Arial"/>
          <w:lang w:val="en-US"/>
        </w:rPr>
        <w:t xml:space="preserve">  Network  Control  Theory.  </w:t>
      </w:r>
      <w:proofErr w:type="spellStart"/>
      <w:r w:rsidRPr="008C7605">
        <w:rPr>
          <w:rFonts w:ascii="Arial" w:hAnsi="Arial" w:cs="Arial"/>
          <w:lang w:val="en-US"/>
        </w:rPr>
        <w:t>Neurosci</w:t>
      </w:r>
      <w:proofErr w:type="spellEnd"/>
      <w:r w:rsidRPr="008C7605">
        <w:rPr>
          <w:rFonts w:ascii="Arial" w:hAnsi="Arial" w:cs="Arial"/>
          <w:lang w:val="en-US"/>
        </w:rPr>
        <w:t xml:space="preserve"> </w:t>
      </w:r>
      <w:proofErr w:type="spellStart"/>
      <w:r w:rsidRPr="008C7605">
        <w:rPr>
          <w:rFonts w:ascii="Arial" w:hAnsi="Arial" w:cs="Arial"/>
          <w:lang w:val="en-US"/>
        </w:rPr>
        <w:t>Biobehav</w:t>
      </w:r>
      <w:proofErr w:type="spellEnd"/>
      <w:r w:rsidRPr="008C7605">
        <w:rPr>
          <w:rFonts w:ascii="Arial" w:hAnsi="Arial" w:cs="Arial"/>
          <w:lang w:val="en-US"/>
        </w:rPr>
        <w:t xml:space="preserve"> Rev 2017; 75: 53-64.</w:t>
      </w:r>
    </w:p>
    <w:p w:rsidR="001976ED" w:rsidRPr="008332E7" w:rsidRDefault="001976ED" w:rsidP="001976ED">
      <w:pPr>
        <w:pStyle w:val="Prrafodelista"/>
        <w:numPr>
          <w:ilvl w:val="0"/>
          <w:numId w:val="13"/>
        </w:numPr>
        <w:spacing w:after="0" w:line="360" w:lineRule="auto"/>
        <w:jc w:val="both"/>
        <w:rPr>
          <w:rFonts w:ascii="Arial" w:hAnsi="Arial" w:cs="Arial"/>
          <w:lang w:val="en-US"/>
        </w:rPr>
      </w:pPr>
      <w:proofErr w:type="spellStart"/>
      <w:r w:rsidRPr="00FD1982">
        <w:rPr>
          <w:rFonts w:ascii="Arial" w:hAnsi="Arial" w:cs="Arial"/>
          <w:color w:val="000000"/>
        </w:rPr>
        <w:t>Xu</w:t>
      </w:r>
      <w:proofErr w:type="spellEnd"/>
      <w:r w:rsidRPr="00FD1982">
        <w:rPr>
          <w:rFonts w:ascii="Arial" w:hAnsi="Arial" w:cs="Arial"/>
          <w:color w:val="000000"/>
        </w:rPr>
        <w:t xml:space="preserve"> W, Tan L, Wang HF, Tan MS, Li JQ, </w:t>
      </w:r>
      <w:proofErr w:type="spellStart"/>
      <w:r w:rsidRPr="00FD1982">
        <w:rPr>
          <w:rFonts w:ascii="Arial" w:hAnsi="Arial" w:cs="Arial"/>
          <w:color w:val="000000"/>
        </w:rPr>
        <w:t>Zhao</w:t>
      </w:r>
      <w:proofErr w:type="spellEnd"/>
      <w:r w:rsidRPr="00FD1982">
        <w:rPr>
          <w:rFonts w:ascii="Arial" w:hAnsi="Arial" w:cs="Arial"/>
          <w:color w:val="000000"/>
        </w:rPr>
        <w:t xml:space="preserve"> QF, et al. </w:t>
      </w:r>
      <w:r w:rsidRPr="00FD1982">
        <w:rPr>
          <w:rFonts w:ascii="Arial" w:hAnsi="Arial" w:cs="Arial"/>
          <w:color w:val="000000"/>
          <w:lang w:val="en-US"/>
        </w:rPr>
        <w:t xml:space="preserve">Education and Risk of Dementia: Dose-Response Meta-Analysis of Prospective Cohort Studies. </w:t>
      </w:r>
      <w:proofErr w:type="spellStart"/>
      <w:r w:rsidRPr="00FD1982">
        <w:rPr>
          <w:rFonts w:ascii="Arial" w:hAnsi="Arial" w:cs="Arial"/>
          <w:color w:val="000000"/>
          <w:lang w:val="en-US"/>
        </w:rPr>
        <w:t>Mol</w:t>
      </w:r>
      <w:proofErr w:type="spellEnd"/>
      <w:r w:rsidRPr="00FD1982">
        <w:rPr>
          <w:rFonts w:ascii="Arial" w:hAnsi="Arial" w:cs="Arial"/>
          <w:color w:val="000000"/>
          <w:lang w:val="en-US"/>
        </w:rPr>
        <w:t xml:space="preserve"> </w:t>
      </w:r>
      <w:proofErr w:type="spellStart"/>
      <w:r w:rsidRPr="00FD1982">
        <w:rPr>
          <w:rFonts w:ascii="Arial" w:hAnsi="Arial" w:cs="Arial"/>
          <w:color w:val="000000"/>
        </w:rPr>
        <w:t>Neurobiol</w:t>
      </w:r>
      <w:proofErr w:type="spellEnd"/>
      <w:r w:rsidRPr="00FD1982">
        <w:rPr>
          <w:rFonts w:ascii="Arial" w:hAnsi="Arial" w:cs="Arial"/>
          <w:color w:val="000000"/>
        </w:rPr>
        <w:t>. 2016</w:t>
      </w:r>
      <w:proofErr w:type="gramStart"/>
      <w:r w:rsidRPr="00FD1982">
        <w:rPr>
          <w:rFonts w:ascii="Arial" w:hAnsi="Arial" w:cs="Arial"/>
          <w:color w:val="000000"/>
        </w:rPr>
        <w:t>;53</w:t>
      </w:r>
      <w:proofErr w:type="gramEnd"/>
      <w:r w:rsidRPr="00FD1982">
        <w:rPr>
          <w:rFonts w:ascii="Arial" w:hAnsi="Arial" w:cs="Arial"/>
          <w:color w:val="000000"/>
        </w:rPr>
        <w:t>(5):3113-23.</w:t>
      </w:r>
    </w:p>
    <w:p w:rsidR="001976ED" w:rsidRDefault="001976ED" w:rsidP="001976ED">
      <w:pPr>
        <w:pStyle w:val="Prrafodelista"/>
        <w:numPr>
          <w:ilvl w:val="0"/>
          <w:numId w:val="13"/>
        </w:numPr>
        <w:spacing w:after="0" w:line="360" w:lineRule="auto"/>
        <w:jc w:val="both"/>
        <w:rPr>
          <w:rFonts w:ascii="Arial" w:hAnsi="Arial" w:cs="Arial"/>
          <w:lang w:val="en-US"/>
        </w:rPr>
      </w:pPr>
      <w:r w:rsidRPr="008332E7">
        <w:rPr>
          <w:rFonts w:ascii="Arial" w:hAnsi="Arial" w:cs="Arial"/>
          <w:lang w:val="en-US"/>
        </w:rPr>
        <w:t xml:space="preserve">Groot  C,  van  </w:t>
      </w:r>
      <w:proofErr w:type="spellStart"/>
      <w:r w:rsidRPr="008332E7">
        <w:rPr>
          <w:rFonts w:ascii="Arial" w:hAnsi="Arial" w:cs="Arial"/>
          <w:lang w:val="en-US"/>
        </w:rPr>
        <w:t>Loenhoud</w:t>
      </w:r>
      <w:proofErr w:type="spellEnd"/>
      <w:r w:rsidRPr="008332E7">
        <w:rPr>
          <w:rFonts w:ascii="Arial" w:hAnsi="Arial" w:cs="Arial"/>
          <w:lang w:val="en-US"/>
        </w:rPr>
        <w:t xml:space="preserve">  AC,  </w:t>
      </w:r>
      <w:proofErr w:type="spellStart"/>
      <w:r w:rsidRPr="008332E7">
        <w:rPr>
          <w:rFonts w:ascii="Arial" w:hAnsi="Arial" w:cs="Arial"/>
          <w:lang w:val="en-US"/>
        </w:rPr>
        <w:t>Barkhof</w:t>
      </w:r>
      <w:proofErr w:type="spellEnd"/>
      <w:r w:rsidRPr="008332E7">
        <w:rPr>
          <w:rFonts w:ascii="Arial" w:hAnsi="Arial" w:cs="Arial"/>
          <w:lang w:val="en-US"/>
        </w:rPr>
        <w:t xml:space="preserve">  F,  van  </w:t>
      </w:r>
      <w:proofErr w:type="spellStart"/>
      <w:r w:rsidRPr="008332E7">
        <w:rPr>
          <w:rFonts w:ascii="Arial" w:hAnsi="Arial" w:cs="Arial"/>
          <w:lang w:val="en-US"/>
        </w:rPr>
        <w:t>Berckel</w:t>
      </w:r>
      <w:proofErr w:type="spellEnd"/>
      <w:r w:rsidRPr="008332E7">
        <w:rPr>
          <w:rFonts w:ascii="Arial" w:hAnsi="Arial" w:cs="Arial"/>
          <w:lang w:val="en-US"/>
        </w:rPr>
        <w:t xml:space="preserve"> BNM, </w:t>
      </w:r>
      <w:proofErr w:type="spellStart"/>
      <w:r w:rsidRPr="008332E7">
        <w:rPr>
          <w:rFonts w:ascii="Arial" w:hAnsi="Arial" w:cs="Arial"/>
          <w:lang w:val="en-US"/>
        </w:rPr>
        <w:t>Koene</w:t>
      </w:r>
      <w:proofErr w:type="spellEnd"/>
      <w:r w:rsidRPr="008332E7">
        <w:rPr>
          <w:rFonts w:ascii="Arial" w:hAnsi="Arial" w:cs="Arial"/>
          <w:lang w:val="en-US"/>
        </w:rPr>
        <w:t xml:space="preserve"> T, </w:t>
      </w:r>
      <w:proofErr w:type="spellStart"/>
      <w:r w:rsidRPr="008332E7">
        <w:rPr>
          <w:rFonts w:ascii="Arial" w:hAnsi="Arial" w:cs="Arial"/>
          <w:lang w:val="en-US"/>
        </w:rPr>
        <w:t>Teunissen</w:t>
      </w:r>
      <w:proofErr w:type="spellEnd"/>
      <w:r w:rsidRPr="008332E7">
        <w:rPr>
          <w:rFonts w:ascii="Arial" w:hAnsi="Arial" w:cs="Arial"/>
          <w:lang w:val="en-US"/>
        </w:rPr>
        <w:t xml:space="preserve"> CC, et al. Differential effects of cognitive reserve and brain reserve on cognition in Alzheimer disease. Neurology 2018; 90 (2): e149-56.</w:t>
      </w:r>
    </w:p>
    <w:p w:rsidR="001976ED" w:rsidRPr="008332E7" w:rsidRDefault="001976ED" w:rsidP="001976ED">
      <w:pPr>
        <w:pStyle w:val="Prrafodelista"/>
        <w:numPr>
          <w:ilvl w:val="0"/>
          <w:numId w:val="13"/>
        </w:numPr>
        <w:spacing w:after="0" w:line="360" w:lineRule="auto"/>
        <w:jc w:val="both"/>
        <w:rPr>
          <w:rFonts w:ascii="Arial" w:hAnsi="Arial" w:cs="Arial"/>
        </w:rPr>
      </w:pPr>
      <w:proofErr w:type="spellStart"/>
      <w:r w:rsidRPr="008332E7">
        <w:rPr>
          <w:rFonts w:ascii="Arial" w:hAnsi="Arial" w:cs="Arial"/>
        </w:rPr>
        <w:t>Toloza</w:t>
      </w:r>
      <w:proofErr w:type="spellEnd"/>
      <w:r w:rsidRPr="008332E7">
        <w:rPr>
          <w:rFonts w:ascii="Arial" w:hAnsi="Arial" w:cs="Arial"/>
        </w:rPr>
        <w:t xml:space="preserve"> D, </w:t>
      </w:r>
      <w:proofErr w:type="spellStart"/>
      <w:r w:rsidRPr="008332E7">
        <w:rPr>
          <w:rFonts w:ascii="Arial" w:hAnsi="Arial" w:cs="Arial"/>
        </w:rPr>
        <w:t>Martella</w:t>
      </w:r>
      <w:proofErr w:type="spellEnd"/>
      <w:r w:rsidRPr="008332E7">
        <w:rPr>
          <w:rFonts w:ascii="Arial" w:hAnsi="Arial" w:cs="Arial"/>
        </w:rPr>
        <w:t xml:space="preserve"> D. Reserva cognitiva y demencias: Limitaciones del efecto protector en el envejecimiento y el deterioro cognitivo</w:t>
      </w:r>
      <w:r>
        <w:rPr>
          <w:rFonts w:ascii="Arial" w:hAnsi="Arial" w:cs="Arial"/>
        </w:rPr>
        <w:t>.</w:t>
      </w:r>
      <w:r w:rsidRPr="008332E7">
        <w:rPr>
          <w:rFonts w:ascii="Arial" w:hAnsi="Arial" w:cs="Arial"/>
        </w:rPr>
        <w:t xml:space="preserve"> </w:t>
      </w:r>
      <w:proofErr w:type="spellStart"/>
      <w:r w:rsidRPr="008332E7">
        <w:rPr>
          <w:rFonts w:ascii="Arial" w:hAnsi="Arial" w:cs="Arial"/>
        </w:rPr>
        <w:t>Rev</w:t>
      </w:r>
      <w:proofErr w:type="spellEnd"/>
      <w:r w:rsidRPr="008332E7">
        <w:rPr>
          <w:rFonts w:ascii="Arial" w:hAnsi="Arial" w:cs="Arial"/>
        </w:rPr>
        <w:t xml:space="preserve"> </w:t>
      </w:r>
      <w:proofErr w:type="spellStart"/>
      <w:r w:rsidRPr="008332E7">
        <w:rPr>
          <w:rFonts w:ascii="Arial" w:hAnsi="Arial" w:cs="Arial"/>
        </w:rPr>
        <w:t>Med</w:t>
      </w:r>
      <w:proofErr w:type="spellEnd"/>
      <w:r w:rsidRPr="008332E7">
        <w:rPr>
          <w:rFonts w:ascii="Arial" w:hAnsi="Arial" w:cs="Arial"/>
        </w:rPr>
        <w:t xml:space="preserve"> Chile 2019; 147: 1594-1612</w:t>
      </w:r>
      <w:r>
        <w:rPr>
          <w:rFonts w:ascii="Arial" w:hAnsi="Arial" w:cs="Arial"/>
        </w:rPr>
        <w:t>.</w:t>
      </w:r>
    </w:p>
    <w:p w:rsidR="001976ED" w:rsidRDefault="001976ED" w:rsidP="001976ED">
      <w:pPr>
        <w:pStyle w:val="Prrafodelista"/>
        <w:numPr>
          <w:ilvl w:val="0"/>
          <w:numId w:val="13"/>
        </w:numPr>
        <w:spacing w:after="0" w:line="360" w:lineRule="auto"/>
        <w:jc w:val="both"/>
        <w:rPr>
          <w:rFonts w:ascii="Arial" w:hAnsi="Arial" w:cs="Arial"/>
        </w:rPr>
      </w:pPr>
      <w:r w:rsidRPr="0078348A">
        <w:rPr>
          <w:rFonts w:ascii="Arial" w:hAnsi="Arial" w:cs="Arial"/>
        </w:rPr>
        <w:lastRenderedPageBreak/>
        <w:t>Martínez Sanguinetti</w:t>
      </w:r>
      <w:r>
        <w:rPr>
          <w:rFonts w:ascii="Arial" w:hAnsi="Arial" w:cs="Arial"/>
        </w:rPr>
        <w:t xml:space="preserve"> MA</w:t>
      </w:r>
      <w:r w:rsidRPr="0078348A">
        <w:rPr>
          <w:rFonts w:ascii="Arial" w:hAnsi="Arial" w:cs="Arial"/>
        </w:rPr>
        <w:t>, Leiva</w:t>
      </w:r>
      <w:r>
        <w:rPr>
          <w:rFonts w:ascii="Arial" w:hAnsi="Arial" w:cs="Arial"/>
        </w:rPr>
        <w:t xml:space="preserve"> AM</w:t>
      </w:r>
      <w:r w:rsidRPr="0078348A">
        <w:rPr>
          <w:rFonts w:ascii="Arial" w:hAnsi="Arial" w:cs="Arial"/>
        </w:rPr>
        <w:t xml:space="preserve">, </w:t>
      </w:r>
      <w:proofErr w:type="spellStart"/>
      <w:r w:rsidRPr="0078348A">
        <w:rPr>
          <w:rFonts w:ascii="Arial" w:hAnsi="Arial" w:cs="Arial"/>
        </w:rPr>
        <w:t>Petermann</w:t>
      </w:r>
      <w:proofErr w:type="spellEnd"/>
      <w:r>
        <w:rPr>
          <w:rFonts w:ascii="Arial" w:hAnsi="Arial" w:cs="Arial"/>
        </w:rPr>
        <w:t xml:space="preserve"> F</w:t>
      </w:r>
      <w:r w:rsidRPr="0078348A">
        <w:rPr>
          <w:rFonts w:ascii="Arial" w:hAnsi="Arial" w:cs="Arial"/>
        </w:rPr>
        <w:t>, Troncoso Pantoja</w:t>
      </w:r>
      <w:r>
        <w:rPr>
          <w:rFonts w:ascii="Arial" w:hAnsi="Arial" w:cs="Arial"/>
        </w:rPr>
        <w:t xml:space="preserve"> </w:t>
      </w:r>
      <w:proofErr w:type="spellStart"/>
      <w:r>
        <w:rPr>
          <w:rFonts w:ascii="Arial" w:hAnsi="Arial" w:cs="Arial"/>
        </w:rPr>
        <w:t>RCl</w:t>
      </w:r>
      <w:proofErr w:type="spellEnd"/>
      <w:r w:rsidRPr="0078348A">
        <w:rPr>
          <w:rFonts w:ascii="Arial" w:hAnsi="Arial" w:cs="Arial"/>
        </w:rPr>
        <w:t>, Villagrán</w:t>
      </w:r>
      <w:r>
        <w:rPr>
          <w:rFonts w:ascii="Arial" w:hAnsi="Arial" w:cs="Arial"/>
        </w:rPr>
        <w:t xml:space="preserve"> M</w:t>
      </w:r>
      <w:r w:rsidRPr="0078348A">
        <w:rPr>
          <w:rFonts w:ascii="Arial" w:hAnsi="Arial" w:cs="Arial"/>
        </w:rPr>
        <w:t xml:space="preserve">, et al. Factores asociados al deterioro cognitivo en personas mayores den Chile. </w:t>
      </w:r>
      <w:proofErr w:type="spellStart"/>
      <w:r w:rsidRPr="0078348A">
        <w:rPr>
          <w:rFonts w:ascii="Arial" w:hAnsi="Arial" w:cs="Arial"/>
        </w:rPr>
        <w:t>Rev</w:t>
      </w:r>
      <w:proofErr w:type="spellEnd"/>
      <w:r w:rsidRPr="0078348A">
        <w:rPr>
          <w:rFonts w:ascii="Arial" w:hAnsi="Arial" w:cs="Arial"/>
        </w:rPr>
        <w:t xml:space="preserve"> </w:t>
      </w:r>
      <w:proofErr w:type="spellStart"/>
      <w:r w:rsidRPr="0078348A">
        <w:rPr>
          <w:rFonts w:ascii="Arial" w:hAnsi="Arial" w:cs="Arial"/>
        </w:rPr>
        <w:t>Med</w:t>
      </w:r>
      <w:proofErr w:type="spellEnd"/>
      <w:r w:rsidRPr="0078348A">
        <w:rPr>
          <w:rFonts w:ascii="Arial" w:hAnsi="Arial" w:cs="Arial"/>
        </w:rPr>
        <w:t xml:space="preserve"> de Chile. 2019; 147(8): 1-5. ISSN 0034-9887</w:t>
      </w:r>
      <w:r>
        <w:rPr>
          <w:rFonts w:ascii="Arial" w:hAnsi="Arial" w:cs="Arial"/>
        </w:rPr>
        <w:t>.</w:t>
      </w:r>
    </w:p>
    <w:p w:rsidR="001976ED" w:rsidRDefault="001976ED" w:rsidP="001976ED">
      <w:pPr>
        <w:pStyle w:val="Prrafodelista"/>
        <w:numPr>
          <w:ilvl w:val="0"/>
          <w:numId w:val="13"/>
        </w:numPr>
        <w:spacing w:after="0" w:line="360" w:lineRule="auto"/>
        <w:jc w:val="both"/>
        <w:rPr>
          <w:rFonts w:ascii="Arial" w:hAnsi="Arial" w:cs="Arial"/>
        </w:rPr>
      </w:pPr>
      <w:r w:rsidRPr="006E367D">
        <w:rPr>
          <w:rFonts w:ascii="Arial" w:hAnsi="Arial" w:cs="Arial"/>
        </w:rPr>
        <w:t>Saldaña</w:t>
      </w:r>
      <w:r>
        <w:rPr>
          <w:rFonts w:ascii="Arial" w:hAnsi="Arial" w:cs="Arial"/>
        </w:rPr>
        <w:t xml:space="preserve"> A</w:t>
      </w:r>
      <w:r w:rsidRPr="006E367D">
        <w:rPr>
          <w:rFonts w:ascii="Arial" w:hAnsi="Arial" w:cs="Arial"/>
        </w:rPr>
        <w:t xml:space="preserve">. Factores relacionados con Deterioro Cognitivo y pérdida de autonomía en una población mayor de 64 años. Tesis Doctoral. Universidad de Huelva. Programa de Doctorado En ciencias de La Salud. 2016: 1-244. Disponible en: http//: </w:t>
      </w:r>
      <w:hyperlink r:id="rId18" w:history="1">
        <w:r w:rsidRPr="006E367D">
          <w:rPr>
            <w:rFonts w:ascii="Arial" w:hAnsi="Arial" w:cs="Arial"/>
          </w:rPr>
          <w:t>www.rabida.uhu.es</w:t>
        </w:r>
      </w:hyperlink>
    </w:p>
    <w:p w:rsidR="001976ED" w:rsidRDefault="001976ED" w:rsidP="001976ED">
      <w:pPr>
        <w:pStyle w:val="Prrafodelista"/>
        <w:numPr>
          <w:ilvl w:val="0"/>
          <w:numId w:val="13"/>
        </w:numPr>
        <w:tabs>
          <w:tab w:val="left" w:pos="567"/>
        </w:tabs>
        <w:spacing w:after="0" w:line="360" w:lineRule="auto"/>
        <w:jc w:val="both"/>
        <w:rPr>
          <w:rFonts w:ascii="Arial" w:hAnsi="Arial" w:cs="Arial"/>
          <w:lang w:val="en-US"/>
        </w:rPr>
      </w:pPr>
      <w:r w:rsidRPr="00934D67">
        <w:rPr>
          <w:rFonts w:ascii="Arial" w:hAnsi="Arial" w:cs="Arial"/>
          <w:lang w:val="en-US"/>
        </w:rPr>
        <w:t xml:space="preserve">Lara E et al. </w:t>
      </w:r>
      <w:r w:rsidRPr="00430BE8">
        <w:rPr>
          <w:rFonts w:ascii="Arial" w:hAnsi="Arial" w:cs="Arial"/>
          <w:lang w:val="en-US"/>
        </w:rPr>
        <w:t xml:space="preserve">Does loneliness contribute to mild cognitive </w:t>
      </w:r>
      <w:r>
        <w:rPr>
          <w:rFonts w:ascii="Arial" w:hAnsi="Arial" w:cs="Arial"/>
          <w:lang w:val="en-US"/>
        </w:rPr>
        <w:t>impairment and dementia? A systematic review and meta-analysis of longitudinal studies. Ageing Research Reviews 2019</w:t>
      </w:r>
      <w:proofErr w:type="gramStart"/>
      <w:r>
        <w:rPr>
          <w:rFonts w:ascii="Arial" w:hAnsi="Arial" w:cs="Arial"/>
          <w:lang w:val="en-US"/>
        </w:rPr>
        <w:t>;52:7</w:t>
      </w:r>
      <w:proofErr w:type="gramEnd"/>
      <w:r>
        <w:rPr>
          <w:rFonts w:ascii="Arial" w:hAnsi="Arial" w:cs="Arial"/>
          <w:lang w:val="en-US"/>
        </w:rPr>
        <w:t xml:space="preserve">-16. </w:t>
      </w:r>
    </w:p>
    <w:p w:rsidR="001976ED" w:rsidRDefault="001976ED" w:rsidP="001976ED">
      <w:pPr>
        <w:pStyle w:val="Prrafodelista"/>
        <w:numPr>
          <w:ilvl w:val="0"/>
          <w:numId w:val="13"/>
        </w:numPr>
        <w:tabs>
          <w:tab w:val="left" w:pos="567"/>
        </w:tabs>
        <w:spacing w:after="0" w:line="360" w:lineRule="auto"/>
        <w:jc w:val="both"/>
        <w:rPr>
          <w:rFonts w:ascii="Arial" w:hAnsi="Arial" w:cs="Arial"/>
          <w:lang w:val="en-US"/>
        </w:rPr>
      </w:pPr>
      <w:proofErr w:type="spellStart"/>
      <w:r>
        <w:rPr>
          <w:rFonts w:ascii="Arial" w:hAnsi="Arial" w:cs="Arial"/>
          <w:lang w:val="en-US"/>
        </w:rPr>
        <w:t>Rafnsson</w:t>
      </w:r>
      <w:proofErr w:type="spellEnd"/>
      <w:r>
        <w:rPr>
          <w:rFonts w:ascii="Arial" w:hAnsi="Arial" w:cs="Arial"/>
          <w:lang w:val="en-US"/>
        </w:rPr>
        <w:t xml:space="preserve"> SB et al. Loneliness, social integration and incident dementia over 6 years: Prospective findings from the English Longitudinal Study of Ageing. The Journals of Gerontology 2020</w:t>
      </w:r>
      <w:proofErr w:type="gramStart"/>
      <w:r>
        <w:rPr>
          <w:rFonts w:ascii="Arial" w:hAnsi="Arial" w:cs="Arial"/>
          <w:lang w:val="en-US"/>
        </w:rPr>
        <w:t>;Series</w:t>
      </w:r>
      <w:proofErr w:type="gramEnd"/>
      <w:r>
        <w:rPr>
          <w:rFonts w:ascii="Arial" w:hAnsi="Arial" w:cs="Arial"/>
          <w:lang w:val="en-US"/>
        </w:rPr>
        <w:t xml:space="preserve"> B, 75(1):114-24.   </w:t>
      </w:r>
    </w:p>
    <w:p w:rsidR="001976ED" w:rsidRPr="00124C81" w:rsidRDefault="001976ED" w:rsidP="001976ED">
      <w:pPr>
        <w:pStyle w:val="Prrafodelista"/>
        <w:numPr>
          <w:ilvl w:val="0"/>
          <w:numId w:val="13"/>
        </w:numPr>
        <w:tabs>
          <w:tab w:val="left" w:pos="567"/>
        </w:tabs>
        <w:spacing w:after="200" w:line="360" w:lineRule="auto"/>
        <w:jc w:val="both"/>
        <w:rPr>
          <w:rFonts w:ascii="Arial" w:hAnsi="Arial" w:cs="Arial"/>
          <w:lang w:val="en-US"/>
        </w:rPr>
      </w:pPr>
      <w:r w:rsidRPr="00E7204F">
        <w:rPr>
          <w:rFonts w:ascii="Arial" w:hAnsi="Arial" w:cs="Arial"/>
          <w:lang w:val="en-US"/>
        </w:rPr>
        <w:t xml:space="preserve">Sierra  C,  </w:t>
      </w:r>
      <w:proofErr w:type="spellStart"/>
      <w:r w:rsidRPr="00E7204F">
        <w:rPr>
          <w:rFonts w:ascii="Arial" w:hAnsi="Arial" w:cs="Arial"/>
          <w:lang w:val="en-US"/>
        </w:rPr>
        <w:t>Salamero</w:t>
      </w:r>
      <w:proofErr w:type="spellEnd"/>
      <w:r w:rsidRPr="00E7204F">
        <w:rPr>
          <w:rFonts w:ascii="Arial" w:hAnsi="Arial" w:cs="Arial"/>
          <w:lang w:val="en-US"/>
        </w:rPr>
        <w:t xml:space="preserve">  M,  </w:t>
      </w:r>
      <w:proofErr w:type="spellStart"/>
      <w:r w:rsidRPr="00E7204F">
        <w:rPr>
          <w:rFonts w:ascii="Arial" w:hAnsi="Arial" w:cs="Arial"/>
          <w:lang w:val="en-US"/>
        </w:rPr>
        <w:t>Domenech</w:t>
      </w:r>
      <w:proofErr w:type="spellEnd"/>
      <w:r w:rsidRPr="00E7204F">
        <w:rPr>
          <w:rFonts w:ascii="Arial" w:hAnsi="Arial" w:cs="Arial"/>
          <w:lang w:val="en-US"/>
        </w:rPr>
        <w:t xml:space="preserve">  M,  </w:t>
      </w:r>
      <w:proofErr w:type="spellStart"/>
      <w:r w:rsidRPr="00E7204F">
        <w:rPr>
          <w:rFonts w:ascii="Arial" w:hAnsi="Arial" w:cs="Arial"/>
          <w:lang w:val="en-US"/>
        </w:rPr>
        <w:t>Camafort</w:t>
      </w:r>
      <w:proofErr w:type="spellEnd"/>
      <w:r w:rsidRPr="00E7204F">
        <w:rPr>
          <w:rFonts w:ascii="Arial" w:hAnsi="Arial" w:cs="Arial"/>
          <w:lang w:val="en-US"/>
        </w:rPr>
        <w:t xml:space="preserve">  M,  Coca  A. </w:t>
      </w:r>
      <w:r w:rsidRPr="003A56C6">
        <w:rPr>
          <w:rFonts w:ascii="Arial" w:hAnsi="Arial" w:cs="Arial"/>
          <w:lang w:val="en-US"/>
        </w:rPr>
        <w:t xml:space="preserve">Circadian  blood </w:t>
      </w:r>
      <w:r w:rsidRPr="00124C81">
        <w:rPr>
          <w:rFonts w:ascii="Arial" w:hAnsi="Arial" w:cs="Arial"/>
          <w:lang w:val="en-US"/>
        </w:rPr>
        <w:t xml:space="preserve">pressure pattern and cognitive function in middle-aged essential hypertensive patients. Rev </w:t>
      </w:r>
      <w:proofErr w:type="spellStart"/>
      <w:proofErr w:type="gramStart"/>
      <w:r w:rsidRPr="00124C81">
        <w:rPr>
          <w:rFonts w:ascii="Arial" w:hAnsi="Arial" w:cs="Arial"/>
          <w:lang w:val="en-US"/>
        </w:rPr>
        <w:t>Esp</w:t>
      </w:r>
      <w:proofErr w:type="spellEnd"/>
      <w:proofErr w:type="gramEnd"/>
      <w:r w:rsidRPr="00124C81">
        <w:rPr>
          <w:rFonts w:ascii="Arial" w:hAnsi="Arial" w:cs="Arial"/>
          <w:lang w:val="en-US"/>
        </w:rPr>
        <w:t xml:space="preserve"> </w:t>
      </w:r>
      <w:proofErr w:type="spellStart"/>
      <w:r w:rsidRPr="00124C81">
        <w:rPr>
          <w:rFonts w:ascii="Arial" w:hAnsi="Arial" w:cs="Arial"/>
          <w:lang w:val="en-US"/>
        </w:rPr>
        <w:t>Cardiol</w:t>
      </w:r>
      <w:proofErr w:type="spellEnd"/>
      <w:r w:rsidRPr="00124C81">
        <w:rPr>
          <w:rFonts w:ascii="Arial" w:hAnsi="Arial" w:cs="Arial"/>
          <w:lang w:val="en-US"/>
        </w:rPr>
        <w:t xml:space="preserve"> (</w:t>
      </w:r>
      <w:proofErr w:type="spellStart"/>
      <w:r w:rsidRPr="00124C81">
        <w:rPr>
          <w:rFonts w:ascii="Arial" w:hAnsi="Arial" w:cs="Arial"/>
          <w:lang w:val="en-US"/>
        </w:rPr>
        <w:t>Engl</w:t>
      </w:r>
      <w:proofErr w:type="spellEnd"/>
      <w:r w:rsidRPr="00124C81">
        <w:rPr>
          <w:rFonts w:ascii="Arial" w:hAnsi="Arial" w:cs="Arial"/>
          <w:lang w:val="en-US"/>
        </w:rPr>
        <w:t xml:space="preserve"> Ed). 2015</w:t>
      </w:r>
      <w:proofErr w:type="gramStart"/>
      <w:r w:rsidRPr="00124C81">
        <w:rPr>
          <w:rFonts w:ascii="Arial" w:hAnsi="Arial" w:cs="Arial"/>
          <w:lang w:val="en-US"/>
        </w:rPr>
        <w:t>;68:157</w:t>
      </w:r>
      <w:proofErr w:type="gramEnd"/>
      <w:r w:rsidRPr="00124C81">
        <w:rPr>
          <w:rFonts w:ascii="Arial" w:hAnsi="Arial" w:cs="Arial"/>
          <w:lang w:val="en-US"/>
        </w:rPr>
        <w:t>–8.</w:t>
      </w:r>
    </w:p>
    <w:p w:rsidR="001976ED" w:rsidRPr="00934D67" w:rsidRDefault="001976ED" w:rsidP="001976ED">
      <w:pPr>
        <w:pStyle w:val="Prrafodelista"/>
        <w:numPr>
          <w:ilvl w:val="0"/>
          <w:numId w:val="13"/>
        </w:numPr>
        <w:tabs>
          <w:tab w:val="left" w:pos="567"/>
        </w:tabs>
        <w:spacing w:after="200" w:line="360" w:lineRule="auto"/>
        <w:jc w:val="both"/>
        <w:rPr>
          <w:rFonts w:ascii="Arial" w:hAnsi="Arial" w:cs="Arial"/>
        </w:rPr>
      </w:pPr>
      <w:proofErr w:type="spellStart"/>
      <w:r w:rsidRPr="00934D67">
        <w:rPr>
          <w:rFonts w:ascii="Arial" w:hAnsi="Arial" w:cs="Arial"/>
        </w:rPr>
        <w:t>Camafort</w:t>
      </w:r>
      <w:proofErr w:type="spellEnd"/>
      <w:r w:rsidRPr="00934D67">
        <w:rPr>
          <w:rFonts w:ascii="Arial" w:hAnsi="Arial" w:cs="Arial"/>
        </w:rPr>
        <w:t xml:space="preserve"> </w:t>
      </w:r>
      <w:r>
        <w:rPr>
          <w:rFonts w:ascii="Arial" w:hAnsi="Arial" w:cs="Arial"/>
        </w:rPr>
        <w:t>m, Sierra C</w:t>
      </w:r>
      <w:r w:rsidRPr="00934D67">
        <w:rPr>
          <w:rFonts w:ascii="Arial" w:hAnsi="Arial" w:cs="Arial"/>
        </w:rPr>
        <w:t>. Hipertensión arterial y demencia: una relación compleja</w:t>
      </w:r>
      <w:r>
        <w:rPr>
          <w:rFonts w:ascii="Arial" w:hAnsi="Arial" w:cs="Arial"/>
        </w:rPr>
        <w:t xml:space="preserve">. </w:t>
      </w:r>
      <w:proofErr w:type="spellStart"/>
      <w:r w:rsidRPr="00934D67">
        <w:rPr>
          <w:rFonts w:ascii="Arial" w:hAnsi="Arial" w:cs="Arial"/>
        </w:rPr>
        <w:t>Rev</w:t>
      </w:r>
      <w:proofErr w:type="spellEnd"/>
      <w:r w:rsidRPr="00934D67">
        <w:rPr>
          <w:rFonts w:ascii="Arial" w:hAnsi="Arial" w:cs="Arial"/>
        </w:rPr>
        <w:t xml:space="preserve"> </w:t>
      </w:r>
      <w:proofErr w:type="spellStart"/>
      <w:r w:rsidRPr="00934D67">
        <w:rPr>
          <w:rFonts w:ascii="Arial" w:hAnsi="Arial" w:cs="Arial"/>
        </w:rPr>
        <w:t>Esp</w:t>
      </w:r>
      <w:proofErr w:type="spellEnd"/>
      <w:r w:rsidRPr="00934D67">
        <w:rPr>
          <w:rFonts w:ascii="Arial" w:hAnsi="Arial" w:cs="Arial"/>
        </w:rPr>
        <w:t xml:space="preserve"> </w:t>
      </w:r>
      <w:proofErr w:type="spellStart"/>
      <w:r w:rsidRPr="00934D67">
        <w:rPr>
          <w:rFonts w:ascii="Arial" w:hAnsi="Arial" w:cs="Arial"/>
        </w:rPr>
        <w:t>Geriatr</w:t>
      </w:r>
      <w:proofErr w:type="spellEnd"/>
      <w:r w:rsidRPr="00934D67">
        <w:rPr>
          <w:rFonts w:ascii="Arial" w:hAnsi="Arial" w:cs="Arial"/>
        </w:rPr>
        <w:t xml:space="preserve"> </w:t>
      </w:r>
      <w:proofErr w:type="spellStart"/>
      <w:r w:rsidRPr="00934D67">
        <w:rPr>
          <w:rFonts w:ascii="Arial" w:hAnsi="Arial" w:cs="Arial"/>
        </w:rPr>
        <w:t>Gerontol</w:t>
      </w:r>
      <w:proofErr w:type="spellEnd"/>
      <w:r w:rsidRPr="00934D67">
        <w:rPr>
          <w:rFonts w:ascii="Arial" w:hAnsi="Arial" w:cs="Arial"/>
        </w:rPr>
        <w:t>. 2016</w:t>
      </w:r>
      <w:proofErr w:type="gramStart"/>
      <w:r w:rsidRPr="00934D67">
        <w:rPr>
          <w:rFonts w:ascii="Arial" w:hAnsi="Arial" w:cs="Arial"/>
        </w:rPr>
        <w:t>;51</w:t>
      </w:r>
      <w:proofErr w:type="gramEnd"/>
      <w:r w:rsidRPr="00934D67">
        <w:rPr>
          <w:rFonts w:ascii="Arial" w:hAnsi="Arial" w:cs="Arial"/>
        </w:rPr>
        <w:t>(1):3</w:t>
      </w:r>
      <w:r>
        <w:rPr>
          <w:rFonts w:ascii="Arial" w:hAnsi="Arial" w:cs="Arial"/>
        </w:rPr>
        <w:t>-</w:t>
      </w:r>
      <w:r w:rsidRPr="00934D67">
        <w:rPr>
          <w:rFonts w:ascii="Arial" w:hAnsi="Arial" w:cs="Arial"/>
        </w:rPr>
        <w:t>4</w:t>
      </w:r>
      <w:r>
        <w:rPr>
          <w:rFonts w:ascii="Arial" w:hAnsi="Arial" w:cs="Arial"/>
        </w:rPr>
        <w:t>.</w:t>
      </w:r>
    </w:p>
    <w:p w:rsidR="001976ED" w:rsidRPr="001433AA" w:rsidRDefault="001976ED" w:rsidP="001976ED">
      <w:pPr>
        <w:pStyle w:val="Prrafodelista"/>
        <w:numPr>
          <w:ilvl w:val="0"/>
          <w:numId w:val="13"/>
        </w:numPr>
        <w:tabs>
          <w:tab w:val="left" w:pos="567"/>
        </w:tabs>
        <w:spacing w:after="200" w:line="360" w:lineRule="auto"/>
        <w:jc w:val="both"/>
        <w:rPr>
          <w:rFonts w:ascii="Arial" w:hAnsi="Arial" w:cs="Arial"/>
          <w:lang w:val="en-US"/>
        </w:rPr>
      </w:pPr>
      <w:r w:rsidRPr="001433AA">
        <w:rPr>
          <w:rFonts w:ascii="Arial" w:hAnsi="Arial" w:cs="Arial"/>
          <w:lang w:val="en-US"/>
        </w:rPr>
        <w:t xml:space="preserve">Coca A, </w:t>
      </w:r>
      <w:proofErr w:type="spellStart"/>
      <w:r w:rsidRPr="001433AA">
        <w:rPr>
          <w:rFonts w:ascii="Arial" w:hAnsi="Arial" w:cs="Arial"/>
          <w:lang w:val="en-US"/>
        </w:rPr>
        <w:t>Camafort</w:t>
      </w:r>
      <w:proofErr w:type="spellEnd"/>
      <w:r w:rsidRPr="001433AA">
        <w:rPr>
          <w:rFonts w:ascii="Arial" w:hAnsi="Arial" w:cs="Arial"/>
          <w:lang w:val="en-US"/>
        </w:rPr>
        <w:t xml:space="preserve"> M, </w:t>
      </w:r>
      <w:proofErr w:type="spellStart"/>
      <w:r w:rsidRPr="001433AA">
        <w:rPr>
          <w:rFonts w:ascii="Arial" w:hAnsi="Arial" w:cs="Arial"/>
          <w:lang w:val="en-US"/>
        </w:rPr>
        <w:t>Doménech</w:t>
      </w:r>
      <w:proofErr w:type="spellEnd"/>
      <w:r w:rsidRPr="001433AA">
        <w:rPr>
          <w:rFonts w:ascii="Arial" w:hAnsi="Arial" w:cs="Arial"/>
          <w:lang w:val="en-US"/>
        </w:rPr>
        <w:t xml:space="preserve"> M, Sierra C. Ambulatory blood pressure in stroke and cognitive dysfunction. </w:t>
      </w:r>
      <w:proofErr w:type="spellStart"/>
      <w:r w:rsidRPr="001433AA">
        <w:rPr>
          <w:rFonts w:ascii="Arial" w:hAnsi="Arial" w:cs="Arial"/>
          <w:lang w:val="en-US"/>
        </w:rPr>
        <w:t>Curr</w:t>
      </w:r>
      <w:proofErr w:type="spellEnd"/>
      <w:r w:rsidRPr="001433AA">
        <w:rPr>
          <w:rFonts w:ascii="Arial" w:hAnsi="Arial" w:cs="Arial"/>
          <w:lang w:val="en-US"/>
        </w:rPr>
        <w:t xml:space="preserve"> </w:t>
      </w:r>
      <w:proofErr w:type="spellStart"/>
      <w:r w:rsidRPr="001433AA">
        <w:rPr>
          <w:rFonts w:ascii="Arial" w:hAnsi="Arial" w:cs="Arial"/>
          <w:lang w:val="en-US"/>
        </w:rPr>
        <w:t>Hypertens</w:t>
      </w:r>
      <w:proofErr w:type="spellEnd"/>
      <w:r w:rsidRPr="001433AA">
        <w:rPr>
          <w:rFonts w:ascii="Arial" w:hAnsi="Arial" w:cs="Arial"/>
          <w:lang w:val="en-US"/>
        </w:rPr>
        <w:t xml:space="preserve"> Rep. 2013</w:t>
      </w:r>
      <w:proofErr w:type="gramStart"/>
      <w:r w:rsidRPr="001433AA">
        <w:rPr>
          <w:rFonts w:ascii="Arial" w:hAnsi="Arial" w:cs="Arial"/>
          <w:lang w:val="en-US"/>
        </w:rPr>
        <w:t>;15:150</w:t>
      </w:r>
      <w:proofErr w:type="gramEnd"/>
      <w:r>
        <w:rPr>
          <w:rFonts w:ascii="Arial" w:hAnsi="Arial" w:cs="Arial"/>
          <w:lang w:val="en-US"/>
        </w:rPr>
        <w:t>-</w:t>
      </w:r>
      <w:r w:rsidRPr="001433AA">
        <w:rPr>
          <w:rFonts w:ascii="Arial" w:hAnsi="Arial" w:cs="Arial"/>
          <w:lang w:val="en-US"/>
        </w:rPr>
        <w:t>9.</w:t>
      </w:r>
    </w:p>
    <w:p w:rsidR="001976ED" w:rsidRDefault="001976ED" w:rsidP="001976ED">
      <w:pPr>
        <w:pStyle w:val="Prrafodelista"/>
        <w:numPr>
          <w:ilvl w:val="0"/>
          <w:numId w:val="13"/>
        </w:numPr>
        <w:tabs>
          <w:tab w:val="left" w:pos="567"/>
        </w:tabs>
        <w:spacing w:after="200" w:line="360" w:lineRule="auto"/>
        <w:jc w:val="both"/>
        <w:rPr>
          <w:rFonts w:ascii="Arial" w:hAnsi="Arial" w:cs="Arial"/>
          <w:lang w:val="en-US"/>
        </w:rPr>
      </w:pPr>
      <w:r w:rsidRPr="000A51D8">
        <w:rPr>
          <w:rFonts w:ascii="Arial" w:hAnsi="Arial" w:cs="Arial"/>
          <w:lang w:val="en-US"/>
        </w:rPr>
        <w:t xml:space="preserve">Novak V, </w:t>
      </w:r>
      <w:proofErr w:type="spellStart"/>
      <w:r w:rsidRPr="000A51D8">
        <w:rPr>
          <w:rFonts w:ascii="Arial" w:hAnsi="Arial" w:cs="Arial"/>
          <w:lang w:val="en-US"/>
        </w:rPr>
        <w:t>Hajjar</w:t>
      </w:r>
      <w:proofErr w:type="spellEnd"/>
      <w:r w:rsidRPr="000A51D8">
        <w:rPr>
          <w:rFonts w:ascii="Arial" w:hAnsi="Arial" w:cs="Arial"/>
          <w:lang w:val="en-US"/>
        </w:rPr>
        <w:t xml:space="preserve"> I. The relationship between blood pressure and cognitive function. Nat Rev </w:t>
      </w:r>
      <w:proofErr w:type="spellStart"/>
      <w:r w:rsidRPr="000A51D8">
        <w:rPr>
          <w:rFonts w:ascii="Arial" w:hAnsi="Arial" w:cs="Arial"/>
          <w:lang w:val="en-US"/>
        </w:rPr>
        <w:t>Cardiol</w:t>
      </w:r>
      <w:proofErr w:type="spellEnd"/>
      <w:r w:rsidRPr="000A51D8">
        <w:rPr>
          <w:rFonts w:ascii="Arial" w:hAnsi="Arial" w:cs="Arial"/>
          <w:lang w:val="en-US"/>
        </w:rPr>
        <w:t>. 2010</w:t>
      </w:r>
      <w:proofErr w:type="gramStart"/>
      <w:r w:rsidRPr="000A51D8">
        <w:rPr>
          <w:rFonts w:ascii="Arial" w:hAnsi="Arial" w:cs="Arial"/>
          <w:lang w:val="en-US"/>
        </w:rPr>
        <w:t>;7:686</w:t>
      </w:r>
      <w:proofErr w:type="gramEnd"/>
      <w:r>
        <w:rPr>
          <w:rFonts w:ascii="Arial" w:hAnsi="Arial" w:cs="Arial"/>
          <w:lang w:val="en-US"/>
        </w:rPr>
        <w:t>-</w:t>
      </w:r>
      <w:r w:rsidRPr="000A51D8">
        <w:rPr>
          <w:rFonts w:ascii="Arial" w:hAnsi="Arial" w:cs="Arial"/>
          <w:lang w:val="en-US"/>
        </w:rPr>
        <w:t>98.</w:t>
      </w:r>
    </w:p>
    <w:p w:rsidR="001976ED" w:rsidRPr="00FC06DB" w:rsidRDefault="001976ED" w:rsidP="001976ED">
      <w:pPr>
        <w:pStyle w:val="Prrafodelista"/>
        <w:numPr>
          <w:ilvl w:val="0"/>
          <w:numId w:val="13"/>
        </w:numPr>
        <w:tabs>
          <w:tab w:val="left" w:pos="567"/>
        </w:tabs>
        <w:spacing w:after="200" w:line="360" w:lineRule="auto"/>
        <w:jc w:val="both"/>
        <w:rPr>
          <w:rFonts w:ascii="Arial" w:hAnsi="Arial" w:cs="Arial"/>
          <w:lang w:val="en-US"/>
        </w:rPr>
      </w:pPr>
      <w:proofErr w:type="spellStart"/>
      <w:r w:rsidRPr="00FC06DB">
        <w:rPr>
          <w:rFonts w:ascii="Arial" w:hAnsi="Arial" w:cs="Arial"/>
          <w:lang w:val="en-US"/>
        </w:rPr>
        <w:t>Gottesman</w:t>
      </w:r>
      <w:proofErr w:type="spellEnd"/>
      <w:r w:rsidRPr="00FC06DB">
        <w:rPr>
          <w:rFonts w:ascii="Arial" w:hAnsi="Arial" w:cs="Arial"/>
          <w:lang w:val="en-US"/>
        </w:rPr>
        <w:t xml:space="preserve">  RF,  Albert  MS,  Alonso  A,  Coker  LH,  et  al. Associations  between  midlife  vascular  risk  factors and  25-year  incident  dementia  in  the  Atherosclerosis</w:t>
      </w:r>
      <w:r>
        <w:rPr>
          <w:rFonts w:ascii="Arial" w:hAnsi="Arial" w:cs="Arial"/>
          <w:lang w:val="en-US"/>
        </w:rPr>
        <w:t xml:space="preserve"> </w:t>
      </w:r>
      <w:r w:rsidRPr="00FC06DB">
        <w:rPr>
          <w:rFonts w:ascii="Arial" w:hAnsi="Arial" w:cs="Arial"/>
          <w:lang w:val="en-US"/>
        </w:rPr>
        <w:t xml:space="preserve">Risk in Communities (ARIC) cohort. </w:t>
      </w:r>
      <w:r>
        <w:rPr>
          <w:rFonts w:ascii="Arial" w:hAnsi="Arial" w:cs="Arial"/>
          <w:lang w:val="en-US"/>
        </w:rPr>
        <w:t>J</w:t>
      </w:r>
      <w:r w:rsidRPr="00FC06DB">
        <w:rPr>
          <w:rFonts w:ascii="Arial" w:hAnsi="Arial" w:cs="Arial"/>
          <w:lang w:val="en-US"/>
        </w:rPr>
        <w:t xml:space="preserve">AMA </w:t>
      </w:r>
      <w:proofErr w:type="spellStart"/>
      <w:r w:rsidRPr="00FC06DB">
        <w:rPr>
          <w:rFonts w:ascii="Arial" w:hAnsi="Arial" w:cs="Arial"/>
          <w:lang w:val="en-US"/>
        </w:rPr>
        <w:t>Neurol</w:t>
      </w:r>
      <w:proofErr w:type="spellEnd"/>
      <w:r w:rsidRPr="00FC06DB">
        <w:rPr>
          <w:rFonts w:ascii="Arial" w:hAnsi="Arial" w:cs="Arial"/>
          <w:lang w:val="en-US"/>
        </w:rPr>
        <w:t xml:space="preserve"> 2017</w:t>
      </w:r>
      <w:proofErr w:type="gramStart"/>
      <w:r w:rsidRPr="00FC06DB">
        <w:rPr>
          <w:rFonts w:ascii="Arial" w:hAnsi="Arial" w:cs="Arial"/>
          <w:lang w:val="en-US"/>
        </w:rPr>
        <w:t>;74</w:t>
      </w:r>
      <w:proofErr w:type="gramEnd"/>
      <w:r w:rsidRPr="00FC06DB">
        <w:rPr>
          <w:rFonts w:ascii="Arial" w:hAnsi="Arial" w:cs="Arial"/>
          <w:lang w:val="en-US"/>
        </w:rPr>
        <w:t>(10):1246-1254.</w:t>
      </w:r>
    </w:p>
    <w:p w:rsidR="001976ED" w:rsidRDefault="001976ED" w:rsidP="001976ED">
      <w:pPr>
        <w:pStyle w:val="Prrafodelista"/>
        <w:numPr>
          <w:ilvl w:val="0"/>
          <w:numId w:val="13"/>
        </w:numPr>
        <w:tabs>
          <w:tab w:val="left" w:pos="567"/>
        </w:tabs>
        <w:spacing w:after="200" w:line="360" w:lineRule="auto"/>
        <w:jc w:val="both"/>
        <w:rPr>
          <w:rFonts w:ascii="Arial" w:hAnsi="Arial" w:cs="Arial"/>
        </w:rPr>
      </w:pPr>
      <w:proofErr w:type="spellStart"/>
      <w:r w:rsidRPr="002A729D">
        <w:rPr>
          <w:rFonts w:ascii="Arial" w:hAnsi="Arial" w:cs="Arial"/>
        </w:rPr>
        <w:t>Formiga</w:t>
      </w:r>
      <w:proofErr w:type="spellEnd"/>
      <w:r w:rsidRPr="002A729D">
        <w:rPr>
          <w:rFonts w:ascii="Arial" w:hAnsi="Arial" w:cs="Arial"/>
        </w:rPr>
        <w:t xml:space="preserve">  F,  </w:t>
      </w:r>
      <w:proofErr w:type="spellStart"/>
      <w:r w:rsidRPr="002A729D">
        <w:rPr>
          <w:rFonts w:ascii="Arial" w:hAnsi="Arial" w:cs="Arial"/>
        </w:rPr>
        <w:t>Reñe</w:t>
      </w:r>
      <w:proofErr w:type="spellEnd"/>
      <w:r w:rsidRPr="002A729D">
        <w:rPr>
          <w:rFonts w:ascii="Arial" w:hAnsi="Arial" w:cs="Arial"/>
        </w:rPr>
        <w:t xml:space="preserve">  R  y  Pérez  </w:t>
      </w:r>
      <w:proofErr w:type="spellStart"/>
      <w:r w:rsidRPr="002A729D">
        <w:rPr>
          <w:rFonts w:ascii="Arial" w:hAnsi="Arial" w:cs="Arial"/>
        </w:rPr>
        <w:t>Maraver</w:t>
      </w:r>
      <w:proofErr w:type="spellEnd"/>
      <w:r w:rsidRPr="002A729D">
        <w:rPr>
          <w:rFonts w:ascii="Arial" w:hAnsi="Arial" w:cs="Arial"/>
        </w:rPr>
        <w:t xml:space="preserve">  M.  Demencia y diabetes: ¿relación casual o causal? Medicina Clínica 2014</w:t>
      </w:r>
      <w:proofErr w:type="gramStart"/>
      <w:r w:rsidRPr="002A729D">
        <w:rPr>
          <w:rFonts w:ascii="Arial" w:hAnsi="Arial" w:cs="Arial"/>
        </w:rPr>
        <w:t>;176</w:t>
      </w:r>
      <w:proofErr w:type="gramEnd"/>
      <w:r w:rsidRPr="002A729D">
        <w:rPr>
          <w:rFonts w:ascii="Arial" w:hAnsi="Arial" w:cs="Arial"/>
        </w:rPr>
        <w:t xml:space="preserve">-18. </w:t>
      </w:r>
    </w:p>
    <w:p w:rsidR="001976ED" w:rsidRPr="002A729D" w:rsidRDefault="001976ED" w:rsidP="001976ED">
      <w:pPr>
        <w:pStyle w:val="Prrafodelista"/>
        <w:numPr>
          <w:ilvl w:val="0"/>
          <w:numId w:val="13"/>
        </w:numPr>
        <w:tabs>
          <w:tab w:val="left" w:pos="567"/>
        </w:tabs>
        <w:spacing w:after="200" w:line="360" w:lineRule="auto"/>
        <w:jc w:val="both"/>
        <w:rPr>
          <w:rFonts w:ascii="Arial" w:hAnsi="Arial" w:cs="Arial"/>
        </w:rPr>
      </w:pPr>
      <w:proofErr w:type="spellStart"/>
      <w:r w:rsidRPr="002A729D">
        <w:rPr>
          <w:rFonts w:ascii="Arial" w:hAnsi="Arial" w:cs="Arial"/>
        </w:rPr>
        <w:t>Brugts</w:t>
      </w:r>
      <w:proofErr w:type="spellEnd"/>
      <w:r w:rsidRPr="002A729D">
        <w:rPr>
          <w:rFonts w:ascii="Arial" w:hAnsi="Arial" w:cs="Arial"/>
        </w:rPr>
        <w:t xml:space="preserve">  MP,  Van  </w:t>
      </w:r>
      <w:proofErr w:type="spellStart"/>
      <w:r w:rsidRPr="002A729D">
        <w:rPr>
          <w:rFonts w:ascii="Arial" w:hAnsi="Arial" w:cs="Arial"/>
        </w:rPr>
        <w:t>Duijn</w:t>
      </w:r>
      <w:proofErr w:type="spellEnd"/>
      <w:r w:rsidRPr="002A729D">
        <w:rPr>
          <w:rFonts w:ascii="Arial" w:hAnsi="Arial" w:cs="Arial"/>
        </w:rPr>
        <w:t xml:space="preserve">  CM,  </w:t>
      </w:r>
      <w:proofErr w:type="spellStart"/>
      <w:r w:rsidRPr="002A729D">
        <w:rPr>
          <w:rFonts w:ascii="Arial" w:hAnsi="Arial" w:cs="Arial"/>
        </w:rPr>
        <w:t>Hofman</w:t>
      </w:r>
      <w:proofErr w:type="spellEnd"/>
      <w:r w:rsidRPr="002A729D">
        <w:rPr>
          <w:rFonts w:ascii="Arial" w:hAnsi="Arial" w:cs="Arial"/>
        </w:rPr>
        <w:t xml:space="preserve">  A,  </w:t>
      </w:r>
      <w:proofErr w:type="spellStart"/>
      <w:r w:rsidRPr="002A729D">
        <w:rPr>
          <w:rFonts w:ascii="Arial" w:hAnsi="Arial" w:cs="Arial"/>
        </w:rPr>
        <w:t>Koudstaal</w:t>
      </w:r>
      <w:proofErr w:type="spellEnd"/>
      <w:r w:rsidRPr="002A729D">
        <w:rPr>
          <w:rFonts w:ascii="Arial" w:hAnsi="Arial" w:cs="Arial"/>
        </w:rPr>
        <w:t xml:space="preserve">  PJ,  Arfan  </w:t>
      </w:r>
      <w:proofErr w:type="spellStart"/>
      <w:r w:rsidRPr="002A729D">
        <w:rPr>
          <w:rFonts w:ascii="Arial" w:hAnsi="Arial" w:cs="Arial"/>
        </w:rPr>
        <w:t>Ikram</w:t>
      </w:r>
      <w:proofErr w:type="spellEnd"/>
      <w:r w:rsidRPr="002A729D">
        <w:rPr>
          <w:rFonts w:ascii="Arial" w:hAnsi="Arial" w:cs="Arial"/>
        </w:rPr>
        <w:t xml:space="preserve">  M,  </w:t>
      </w:r>
      <w:proofErr w:type="spellStart"/>
      <w:r w:rsidRPr="002A729D">
        <w:rPr>
          <w:rFonts w:ascii="Arial" w:hAnsi="Arial" w:cs="Arial"/>
        </w:rPr>
        <w:t>Janssen</w:t>
      </w:r>
      <w:proofErr w:type="spellEnd"/>
      <w:r w:rsidRPr="002A729D">
        <w:rPr>
          <w:rFonts w:ascii="Arial" w:hAnsi="Arial" w:cs="Arial"/>
        </w:rPr>
        <w:t xml:space="preserve">  J  et  al.  </w:t>
      </w:r>
      <w:r w:rsidRPr="002A729D">
        <w:rPr>
          <w:rFonts w:ascii="Arial" w:hAnsi="Arial" w:cs="Arial"/>
          <w:lang w:val="en-US"/>
        </w:rPr>
        <w:t xml:space="preserve">Insulin-Like </w:t>
      </w:r>
      <w:proofErr w:type="gramStart"/>
      <w:r w:rsidRPr="002A729D">
        <w:rPr>
          <w:rFonts w:ascii="Arial" w:hAnsi="Arial" w:cs="Arial"/>
          <w:lang w:val="en-US"/>
        </w:rPr>
        <w:t>growth  factor</w:t>
      </w:r>
      <w:proofErr w:type="gramEnd"/>
      <w:r w:rsidRPr="002A729D">
        <w:rPr>
          <w:rFonts w:ascii="Arial" w:hAnsi="Arial" w:cs="Arial"/>
          <w:lang w:val="en-US"/>
        </w:rPr>
        <w:t xml:space="preserve">-I  receptor  stimulating  activity  is  associated  with  dementia.  </w:t>
      </w:r>
      <w:proofErr w:type="gramStart"/>
      <w:r w:rsidRPr="002A729D">
        <w:rPr>
          <w:rFonts w:ascii="Arial" w:hAnsi="Arial" w:cs="Arial"/>
          <w:lang w:val="en-US"/>
        </w:rPr>
        <w:t>Journal  of</w:t>
      </w:r>
      <w:proofErr w:type="gramEnd"/>
      <w:r w:rsidRPr="002A729D">
        <w:rPr>
          <w:rFonts w:ascii="Arial" w:hAnsi="Arial" w:cs="Arial"/>
          <w:lang w:val="en-US"/>
        </w:rPr>
        <w:t xml:space="preserve">  Alzheimer´s </w:t>
      </w:r>
      <w:proofErr w:type="spellStart"/>
      <w:r w:rsidRPr="002A729D">
        <w:rPr>
          <w:rFonts w:ascii="Arial" w:hAnsi="Arial" w:cs="Arial"/>
        </w:rPr>
        <w:t>disease</w:t>
      </w:r>
      <w:proofErr w:type="spellEnd"/>
      <w:r w:rsidRPr="002A729D">
        <w:rPr>
          <w:rFonts w:ascii="Arial" w:hAnsi="Arial" w:cs="Arial"/>
        </w:rPr>
        <w:t xml:space="preserve"> 2014;42: 137-142.</w:t>
      </w:r>
    </w:p>
    <w:p w:rsidR="001976ED" w:rsidRPr="002F7887" w:rsidRDefault="001976ED" w:rsidP="001976ED">
      <w:pPr>
        <w:pStyle w:val="Prrafodelista"/>
        <w:numPr>
          <w:ilvl w:val="0"/>
          <w:numId w:val="13"/>
        </w:numPr>
        <w:tabs>
          <w:tab w:val="left" w:pos="567"/>
        </w:tabs>
        <w:spacing w:after="200" w:line="360" w:lineRule="auto"/>
        <w:jc w:val="both"/>
        <w:rPr>
          <w:rFonts w:ascii="Arial" w:hAnsi="Arial" w:cs="Arial"/>
        </w:rPr>
      </w:pPr>
      <w:r w:rsidRPr="002F7887">
        <w:rPr>
          <w:rFonts w:ascii="Arial" w:hAnsi="Arial" w:cs="Arial"/>
        </w:rPr>
        <w:t xml:space="preserve">Triana Mantilla ME.  La hiperglicemia y sus efectos tóxicos. Un concepto patogénico para </w:t>
      </w:r>
      <w:proofErr w:type="gramStart"/>
      <w:r w:rsidRPr="002F7887">
        <w:rPr>
          <w:rFonts w:ascii="Arial" w:hAnsi="Arial" w:cs="Arial"/>
        </w:rPr>
        <w:t>la</w:t>
      </w:r>
      <w:proofErr w:type="gramEnd"/>
      <w:r w:rsidRPr="002F7887">
        <w:rPr>
          <w:rFonts w:ascii="Arial" w:hAnsi="Arial" w:cs="Arial"/>
        </w:rPr>
        <w:t xml:space="preserve"> micro y </w:t>
      </w:r>
      <w:proofErr w:type="spellStart"/>
      <w:r w:rsidRPr="002F7887">
        <w:rPr>
          <w:rFonts w:ascii="Arial" w:hAnsi="Arial" w:cs="Arial"/>
        </w:rPr>
        <w:t>macroangiopatía</w:t>
      </w:r>
      <w:proofErr w:type="spellEnd"/>
      <w:r w:rsidRPr="002F7887">
        <w:rPr>
          <w:rFonts w:ascii="Arial" w:hAnsi="Arial" w:cs="Arial"/>
        </w:rPr>
        <w:t xml:space="preserve"> diabética. </w:t>
      </w:r>
      <w:proofErr w:type="spellStart"/>
      <w:r w:rsidRPr="002F7887">
        <w:rPr>
          <w:rFonts w:ascii="Arial" w:hAnsi="Arial" w:cs="Arial"/>
        </w:rPr>
        <w:t>Rev</w:t>
      </w:r>
      <w:proofErr w:type="spellEnd"/>
      <w:r w:rsidRPr="002F7887">
        <w:rPr>
          <w:rFonts w:ascii="Arial" w:hAnsi="Arial" w:cs="Arial"/>
        </w:rPr>
        <w:t xml:space="preserve"> Cuba</w:t>
      </w:r>
      <w:r>
        <w:rPr>
          <w:rFonts w:ascii="Arial" w:hAnsi="Arial" w:cs="Arial"/>
        </w:rPr>
        <w:t xml:space="preserve">na </w:t>
      </w:r>
      <w:proofErr w:type="spellStart"/>
      <w:r>
        <w:rPr>
          <w:rFonts w:ascii="Arial" w:hAnsi="Arial" w:cs="Arial"/>
        </w:rPr>
        <w:t>Angiol</w:t>
      </w:r>
      <w:proofErr w:type="spellEnd"/>
      <w:r>
        <w:rPr>
          <w:rFonts w:ascii="Arial" w:hAnsi="Arial" w:cs="Arial"/>
        </w:rPr>
        <w:t xml:space="preserve"> y </w:t>
      </w:r>
      <w:proofErr w:type="spellStart"/>
      <w:r>
        <w:rPr>
          <w:rFonts w:ascii="Arial" w:hAnsi="Arial" w:cs="Arial"/>
        </w:rPr>
        <w:t>Cir</w:t>
      </w:r>
      <w:proofErr w:type="spellEnd"/>
      <w:r>
        <w:rPr>
          <w:rFonts w:ascii="Arial" w:hAnsi="Arial" w:cs="Arial"/>
        </w:rPr>
        <w:t xml:space="preserve"> </w:t>
      </w:r>
      <w:proofErr w:type="spellStart"/>
      <w:r>
        <w:rPr>
          <w:rFonts w:ascii="Arial" w:hAnsi="Arial" w:cs="Arial"/>
        </w:rPr>
        <w:t>Vasc</w:t>
      </w:r>
      <w:proofErr w:type="spellEnd"/>
      <w:r>
        <w:rPr>
          <w:rFonts w:ascii="Arial" w:hAnsi="Arial" w:cs="Arial"/>
        </w:rPr>
        <w:t>. 2001</w:t>
      </w:r>
      <w:proofErr w:type="gramStart"/>
      <w:r>
        <w:rPr>
          <w:rFonts w:ascii="Arial" w:hAnsi="Arial" w:cs="Arial"/>
        </w:rPr>
        <w:t>;2:131</w:t>
      </w:r>
      <w:proofErr w:type="gramEnd"/>
      <w:r>
        <w:rPr>
          <w:rFonts w:ascii="Arial" w:hAnsi="Arial" w:cs="Arial"/>
        </w:rPr>
        <w:t>-141.</w:t>
      </w:r>
    </w:p>
    <w:p w:rsidR="001976ED" w:rsidRPr="001472A5" w:rsidRDefault="001976ED" w:rsidP="001976ED">
      <w:pPr>
        <w:pStyle w:val="Prrafodelista"/>
        <w:numPr>
          <w:ilvl w:val="0"/>
          <w:numId w:val="13"/>
        </w:numPr>
        <w:tabs>
          <w:tab w:val="left" w:pos="567"/>
        </w:tabs>
        <w:spacing w:after="0" w:line="360" w:lineRule="auto"/>
        <w:jc w:val="both"/>
        <w:rPr>
          <w:rFonts w:ascii="Arial" w:hAnsi="Arial" w:cs="Arial"/>
          <w:lang w:val="en-US"/>
        </w:rPr>
      </w:pPr>
      <w:r w:rsidRPr="001472A5">
        <w:rPr>
          <w:rFonts w:ascii="Arial" w:hAnsi="Arial" w:cs="Arial"/>
          <w:lang w:val="en-US"/>
        </w:rPr>
        <w:lastRenderedPageBreak/>
        <w:t xml:space="preserve">Bell SP, Liu D, Samuels LR, Shah AS, Gifford KA, </w:t>
      </w:r>
      <w:proofErr w:type="spellStart"/>
      <w:r w:rsidRPr="001472A5">
        <w:rPr>
          <w:rFonts w:ascii="Arial" w:hAnsi="Arial" w:cs="Arial"/>
          <w:lang w:val="en-US"/>
        </w:rPr>
        <w:t>Hohman</w:t>
      </w:r>
      <w:proofErr w:type="spellEnd"/>
      <w:r w:rsidRPr="001472A5">
        <w:rPr>
          <w:rFonts w:ascii="Arial" w:hAnsi="Arial" w:cs="Arial"/>
          <w:lang w:val="en-US"/>
        </w:rPr>
        <w:t xml:space="preserve"> TJ, et al. Late-Life Body Mass Index, Rapid Weight Loss, </w:t>
      </w:r>
      <w:proofErr w:type="spellStart"/>
      <w:r w:rsidRPr="001472A5">
        <w:rPr>
          <w:rFonts w:ascii="Arial" w:hAnsi="Arial" w:cs="Arial"/>
          <w:lang w:val="en-US"/>
        </w:rPr>
        <w:t>Apolipoprotein</w:t>
      </w:r>
      <w:proofErr w:type="spellEnd"/>
      <w:r w:rsidRPr="001472A5">
        <w:rPr>
          <w:rFonts w:ascii="Arial" w:hAnsi="Arial" w:cs="Arial"/>
          <w:lang w:val="en-US"/>
        </w:rPr>
        <w:t xml:space="preserve"> E ε4 and the Risk of Cognitive Decline and Incident Dementia. J </w:t>
      </w:r>
      <w:proofErr w:type="spellStart"/>
      <w:r w:rsidRPr="001472A5">
        <w:rPr>
          <w:rFonts w:ascii="Arial" w:hAnsi="Arial" w:cs="Arial"/>
          <w:lang w:val="en-US"/>
        </w:rPr>
        <w:t>Nutr</w:t>
      </w:r>
      <w:proofErr w:type="spellEnd"/>
      <w:r w:rsidRPr="001472A5">
        <w:rPr>
          <w:rFonts w:ascii="Arial" w:hAnsi="Arial" w:cs="Arial"/>
          <w:lang w:val="en-US"/>
        </w:rPr>
        <w:t xml:space="preserve"> Health Aging. 2017</w:t>
      </w:r>
      <w:proofErr w:type="gramStart"/>
      <w:r w:rsidRPr="001472A5">
        <w:rPr>
          <w:rFonts w:ascii="Arial" w:hAnsi="Arial" w:cs="Arial"/>
          <w:lang w:val="en-US"/>
        </w:rPr>
        <w:t>;21</w:t>
      </w:r>
      <w:proofErr w:type="gramEnd"/>
      <w:r w:rsidRPr="001472A5">
        <w:rPr>
          <w:rFonts w:ascii="Arial" w:hAnsi="Arial" w:cs="Arial"/>
          <w:lang w:val="en-US"/>
        </w:rPr>
        <w:t>(10):1259-67.</w:t>
      </w:r>
    </w:p>
    <w:p w:rsidR="001976ED" w:rsidRPr="00740354" w:rsidRDefault="001976ED" w:rsidP="001976ED">
      <w:pPr>
        <w:pStyle w:val="Prrafodelista"/>
        <w:numPr>
          <w:ilvl w:val="0"/>
          <w:numId w:val="13"/>
        </w:numPr>
        <w:tabs>
          <w:tab w:val="left" w:pos="426"/>
          <w:tab w:val="left" w:pos="567"/>
        </w:tabs>
        <w:spacing w:after="0" w:line="360" w:lineRule="auto"/>
        <w:jc w:val="both"/>
        <w:rPr>
          <w:rFonts w:ascii="Arial" w:hAnsi="Arial" w:cs="Arial"/>
        </w:rPr>
      </w:pPr>
      <w:proofErr w:type="spellStart"/>
      <w:r w:rsidRPr="00740354">
        <w:rPr>
          <w:rFonts w:ascii="Arial" w:hAnsi="Arial" w:cs="Arial"/>
        </w:rPr>
        <w:t>Seubert</w:t>
      </w:r>
      <w:proofErr w:type="spellEnd"/>
      <w:r w:rsidRPr="00740354">
        <w:rPr>
          <w:rFonts w:ascii="Arial" w:hAnsi="Arial" w:cs="Arial"/>
        </w:rPr>
        <w:t xml:space="preserve"> AN, Yáñez MG. El cuadro neurocognitivo y </w:t>
      </w:r>
      <w:proofErr w:type="spellStart"/>
      <w:r w:rsidRPr="00740354">
        <w:rPr>
          <w:rFonts w:ascii="Arial" w:hAnsi="Arial" w:cs="Arial"/>
        </w:rPr>
        <w:t>neuropsiqui</w:t>
      </w:r>
      <w:r>
        <w:rPr>
          <w:rFonts w:ascii="Arial" w:hAnsi="Arial" w:cs="Arial"/>
        </w:rPr>
        <w:t>átrico</w:t>
      </w:r>
      <w:proofErr w:type="spellEnd"/>
      <w:r>
        <w:rPr>
          <w:rFonts w:ascii="Arial" w:hAnsi="Arial" w:cs="Arial"/>
        </w:rPr>
        <w:t xml:space="preserve"> de la enfermedad </w:t>
      </w:r>
      <w:r w:rsidRPr="00740354">
        <w:rPr>
          <w:rFonts w:ascii="Arial" w:hAnsi="Arial" w:cs="Arial"/>
        </w:rPr>
        <w:t xml:space="preserve">de Parkinson. </w:t>
      </w:r>
      <w:proofErr w:type="spellStart"/>
      <w:r w:rsidRPr="00740354">
        <w:rPr>
          <w:rFonts w:ascii="Arial" w:hAnsi="Arial" w:cs="Arial"/>
        </w:rPr>
        <w:t>Re</w:t>
      </w:r>
      <w:r>
        <w:rPr>
          <w:rFonts w:ascii="Arial" w:hAnsi="Arial" w:cs="Arial"/>
        </w:rPr>
        <w:t>v</w:t>
      </w:r>
      <w:proofErr w:type="spellEnd"/>
      <w:r w:rsidRPr="00740354">
        <w:rPr>
          <w:rFonts w:ascii="Arial" w:hAnsi="Arial" w:cs="Arial"/>
        </w:rPr>
        <w:t xml:space="preserve"> </w:t>
      </w:r>
      <w:proofErr w:type="spellStart"/>
      <w:r w:rsidRPr="00740354">
        <w:rPr>
          <w:rFonts w:ascii="Arial" w:hAnsi="Arial" w:cs="Arial"/>
        </w:rPr>
        <w:t>Mex</w:t>
      </w:r>
      <w:proofErr w:type="spellEnd"/>
      <w:r w:rsidRPr="00740354">
        <w:rPr>
          <w:rFonts w:ascii="Arial" w:hAnsi="Arial" w:cs="Arial"/>
        </w:rPr>
        <w:t xml:space="preserve"> Neurociencias 2016</w:t>
      </w:r>
      <w:proofErr w:type="gramStart"/>
      <w:r w:rsidRPr="00740354">
        <w:rPr>
          <w:rFonts w:ascii="Arial" w:hAnsi="Arial" w:cs="Arial"/>
        </w:rPr>
        <w:t>;17</w:t>
      </w:r>
      <w:proofErr w:type="gramEnd"/>
      <w:r w:rsidRPr="00740354">
        <w:rPr>
          <w:rFonts w:ascii="Arial" w:hAnsi="Arial" w:cs="Arial"/>
        </w:rPr>
        <w:t xml:space="preserve">(1):1-113. </w:t>
      </w:r>
    </w:p>
    <w:p w:rsidR="001976ED" w:rsidRPr="00FA20BB" w:rsidRDefault="001976ED" w:rsidP="001976ED">
      <w:pPr>
        <w:numPr>
          <w:ilvl w:val="0"/>
          <w:numId w:val="13"/>
        </w:numPr>
        <w:suppressAutoHyphens/>
        <w:spacing w:after="0" w:line="360" w:lineRule="auto"/>
        <w:jc w:val="both"/>
        <w:rPr>
          <w:rFonts w:ascii="Arial" w:eastAsia="Times New Roman" w:hAnsi="Arial" w:cs="Arial"/>
          <w:sz w:val="24"/>
          <w:szCs w:val="24"/>
          <w:lang w:val="en-US" w:eastAsia="es-ES"/>
        </w:rPr>
      </w:pPr>
      <w:r w:rsidRPr="001976ED">
        <w:rPr>
          <w:rFonts w:ascii="Arial" w:eastAsia="Times New Roman" w:hAnsi="Arial" w:cs="Arial"/>
          <w:sz w:val="24"/>
          <w:szCs w:val="24"/>
          <w:lang w:eastAsia="es-ES"/>
        </w:rPr>
        <w:t xml:space="preserve">Caracciolo B, Gatz M, Xu W, Marengoni A,. </w:t>
      </w:r>
      <w:r w:rsidRPr="00FA20BB">
        <w:rPr>
          <w:rFonts w:ascii="Arial" w:eastAsia="Times New Roman" w:hAnsi="Arial" w:cs="Arial"/>
          <w:sz w:val="24"/>
          <w:szCs w:val="24"/>
          <w:lang w:val="en-US" w:eastAsia="es-ES"/>
        </w:rPr>
        <w:t xml:space="preserve">Pedersen N, </w:t>
      </w:r>
      <w:proofErr w:type="spellStart"/>
      <w:r w:rsidRPr="00FA20BB">
        <w:rPr>
          <w:rFonts w:ascii="Arial" w:eastAsia="Times New Roman" w:hAnsi="Arial" w:cs="Arial"/>
          <w:sz w:val="24"/>
          <w:szCs w:val="24"/>
          <w:lang w:val="en-US" w:eastAsia="es-ES"/>
        </w:rPr>
        <w:t>Fratiglioni</w:t>
      </w:r>
      <w:proofErr w:type="spellEnd"/>
      <w:r w:rsidRPr="00FA20BB">
        <w:rPr>
          <w:rFonts w:ascii="Arial" w:eastAsia="Times New Roman" w:hAnsi="Arial" w:cs="Arial"/>
          <w:sz w:val="24"/>
          <w:szCs w:val="24"/>
          <w:lang w:val="en-US" w:eastAsia="es-ES"/>
        </w:rPr>
        <w:t xml:space="preserve"> L. Relation of </w:t>
      </w:r>
      <w:proofErr w:type="spellStart"/>
      <w:r w:rsidRPr="00FA20BB">
        <w:rPr>
          <w:rFonts w:ascii="Arial" w:eastAsia="Times New Roman" w:hAnsi="Arial" w:cs="Arial"/>
          <w:sz w:val="24"/>
          <w:szCs w:val="24"/>
          <w:lang w:val="en-US" w:eastAsia="es-ES"/>
        </w:rPr>
        <w:t>multimorbidity</w:t>
      </w:r>
      <w:proofErr w:type="spellEnd"/>
      <w:r w:rsidRPr="00FA20BB">
        <w:rPr>
          <w:rFonts w:ascii="Arial" w:eastAsia="Times New Roman" w:hAnsi="Arial" w:cs="Arial"/>
          <w:sz w:val="24"/>
          <w:szCs w:val="24"/>
          <w:lang w:val="en-US" w:eastAsia="es-ES"/>
        </w:rPr>
        <w:t xml:space="preserve"> to subjective and objective cognitive impairment: a population-based twin study J </w:t>
      </w:r>
      <w:proofErr w:type="spellStart"/>
      <w:r w:rsidRPr="00FA20BB">
        <w:rPr>
          <w:rFonts w:ascii="Arial" w:eastAsia="Times New Roman" w:hAnsi="Arial" w:cs="Arial"/>
          <w:sz w:val="24"/>
          <w:szCs w:val="24"/>
          <w:lang w:val="en-US" w:eastAsia="es-ES"/>
        </w:rPr>
        <w:t>Alzheimers</w:t>
      </w:r>
      <w:proofErr w:type="spellEnd"/>
      <w:r w:rsidRPr="00FA20BB">
        <w:rPr>
          <w:rFonts w:ascii="Arial" w:eastAsia="Times New Roman" w:hAnsi="Arial" w:cs="Arial"/>
          <w:sz w:val="24"/>
          <w:szCs w:val="24"/>
          <w:lang w:val="en-US" w:eastAsia="es-ES"/>
        </w:rPr>
        <w:t xml:space="preserve"> Dis. 2013; 36(2): 275–84. </w:t>
      </w:r>
      <w:proofErr w:type="spellStart"/>
      <w:r w:rsidRPr="00FA20BB">
        <w:rPr>
          <w:rFonts w:ascii="Arial" w:eastAsia="Times New Roman" w:hAnsi="Arial" w:cs="Arial"/>
          <w:sz w:val="24"/>
          <w:szCs w:val="24"/>
          <w:lang w:val="en-US" w:eastAsia="es-ES"/>
        </w:rPr>
        <w:t>Doi</w:t>
      </w:r>
      <w:proofErr w:type="spellEnd"/>
      <w:r w:rsidRPr="00FA20BB">
        <w:rPr>
          <w:rFonts w:ascii="Arial" w:eastAsia="Times New Roman" w:hAnsi="Arial" w:cs="Arial"/>
          <w:sz w:val="24"/>
          <w:szCs w:val="24"/>
          <w:lang w:val="en-US" w:eastAsia="es-ES"/>
        </w:rPr>
        <w:t>: 10.3233/JAD-122050 available in PMC 2014 July 02.</w:t>
      </w:r>
    </w:p>
    <w:p w:rsidR="001976ED" w:rsidRPr="00F37E51" w:rsidRDefault="001976ED" w:rsidP="001976ED">
      <w:pPr>
        <w:pStyle w:val="Prrafodelista"/>
        <w:numPr>
          <w:ilvl w:val="0"/>
          <w:numId w:val="13"/>
        </w:numPr>
        <w:tabs>
          <w:tab w:val="left" w:pos="567"/>
        </w:tabs>
        <w:spacing w:after="200" w:line="360" w:lineRule="auto"/>
        <w:jc w:val="both"/>
        <w:rPr>
          <w:rFonts w:ascii="Arial" w:hAnsi="Arial" w:cs="Arial"/>
        </w:rPr>
      </w:pPr>
      <w:proofErr w:type="spellStart"/>
      <w:r w:rsidRPr="00FA20BB">
        <w:rPr>
          <w:rFonts w:ascii="Arial" w:hAnsi="Arial" w:cs="Arial"/>
          <w:lang w:val="en-US"/>
        </w:rPr>
        <w:t>Vassilaki</w:t>
      </w:r>
      <w:proofErr w:type="spellEnd"/>
      <w:r w:rsidRPr="00FA20BB">
        <w:rPr>
          <w:rFonts w:ascii="Arial" w:hAnsi="Arial" w:cs="Arial"/>
          <w:lang w:val="en-US"/>
        </w:rPr>
        <w:t xml:space="preserve"> M, </w:t>
      </w:r>
      <w:proofErr w:type="spellStart"/>
      <w:r w:rsidRPr="00FA20BB">
        <w:rPr>
          <w:rFonts w:ascii="Arial" w:hAnsi="Arial" w:cs="Arial"/>
          <w:lang w:val="en-US"/>
        </w:rPr>
        <w:t>Aakre</w:t>
      </w:r>
      <w:proofErr w:type="spellEnd"/>
      <w:r w:rsidRPr="00FA20BB">
        <w:rPr>
          <w:rFonts w:ascii="Arial" w:hAnsi="Arial" w:cs="Arial"/>
          <w:lang w:val="en-US"/>
        </w:rPr>
        <w:t xml:space="preserve"> J, Cha R, </w:t>
      </w:r>
      <w:proofErr w:type="spellStart"/>
      <w:r w:rsidRPr="00FA20BB">
        <w:rPr>
          <w:rFonts w:ascii="Arial" w:hAnsi="Arial" w:cs="Arial"/>
          <w:lang w:val="en-US"/>
        </w:rPr>
        <w:t>Kremers</w:t>
      </w:r>
      <w:proofErr w:type="spellEnd"/>
      <w:r w:rsidRPr="00FA20BB">
        <w:rPr>
          <w:rFonts w:ascii="Arial" w:hAnsi="Arial" w:cs="Arial"/>
          <w:lang w:val="en-US"/>
        </w:rPr>
        <w:t xml:space="preserve"> W, </w:t>
      </w:r>
      <w:proofErr w:type="spellStart"/>
      <w:r w:rsidRPr="00FA20BB">
        <w:rPr>
          <w:rFonts w:ascii="Arial" w:hAnsi="Arial" w:cs="Arial"/>
          <w:lang w:val="en-US"/>
        </w:rPr>
        <w:t>Sauver</w:t>
      </w:r>
      <w:proofErr w:type="spellEnd"/>
      <w:r w:rsidRPr="00FA20BB">
        <w:rPr>
          <w:rFonts w:ascii="Arial" w:hAnsi="Arial" w:cs="Arial"/>
          <w:lang w:val="en-US"/>
        </w:rPr>
        <w:t xml:space="preserve"> J, </w:t>
      </w:r>
      <w:proofErr w:type="spellStart"/>
      <w:r w:rsidRPr="00FA20BB">
        <w:rPr>
          <w:rFonts w:ascii="Arial" w:hAnsi="Arial" w:cs="Arial"/>
          <w:lang w:val="en-US"/>
        </w:rPr>
        <w:t>Mielke</w:t>
      </w:r>
      <w:proofErr w:type="spellEnd"/>
      <w:r w:rsidRPr="00FA20BB">
        <w:rPr>
          <w:rFonts w:ascii="Arial" w:hAnsi="Arial" w:cs="Arial"/>
          <w:lang w:val="en-US"/>
        </w:rPr>
        <w:t xml:space="preserve"> M, </w:t>
      </w:r>
      <w:proofErr w:type="spellStart"/>
      <w:r w:rsidRPr="00FA20BB">
        <w:rPr>
          <w:rFonts w:ascii="Arial" w:hAnsi="Arial" w:cs="Arial"/>
          <w:lang w:val="en-US"/>
        </w:rPr>
        <w:t>Geda</w:t>
      </w:r>
      <w:proofErr w:type="spellEnd"/>
      <w:r w:rsidRPr="00FA20BB">
        <w:rPr>
          <w:rFonts w:ascii="Arial" w:hAnsi="Arial" w:cs="Arial"/>
          <w:lang w:val="en-US"/>
        </w:rPr>
        <w:t xml:space="preserve"> Y, </w:t>
      </w:r>
      <w:proofErr w:type="spellStart"/>
      <w:r w:rsidRPr="00FA20BB">
        <w:rPr>
          <w:rFonts w:ascii="Arial" w:hAnsi="Arial" w:cs="Arial"/>
          <w:lang w:val="en-US"/>
        </w:rPr>
        <w:t>Machulda</w:t>
      </w:r>
      <w:proofErr w:type="spellEnd"/>
      <w:r w:rsidRPr="00FA20BB">
        <w:rPr>
          <w:rFonts w:ascii="Arial" w:hAnsi="Arial" w:cs="Arial"/>
          <w:lang w:val="en-US"/>
        </w:rPr>
        <w:t xml:space="preserve"> M, </w:t>
      </w:r>
      <w:proofErr w:type="spellStart"/>
      <w:r w:rsidRPr="00FA20BB">
        <w:rPr>
          <w:rFonts w:ascii="Arial" w:hAnsi="Arial" w:cs="Arial"/>
          <w:lang w:val="en-US"/>
        </w:rPr>
        <w:t>Knopman</w:t>
      </w:r>
      <w:proofErr w:type="spellEnd"/>
      <w:r w:rsidRPr="00FA20BB">
        <w:rPr>
          <w:rFonts w:ascii="Arial" w:hAnsi="Arial" w:cs="Arial"/>
          <w:lang w:val="en-US"/>
        </w:rPr>
        <w:t xml:space="preserve"> D et al. </w:t>
      </w:r>
      <w:proofErr w:type="spellStart"/>
      <w:r w:rsidRPr="00F37E51">
        <w:rPr>
          <w:rFonts w:ascii="Arial" w:hAnsi="Arial" w:cs="Arial"/>
        </w:rPr>
        <w:t>Multimorbidity</w:t>
      </w:r>
      <w:proofErr w:type="spellEnd"/>
      <w:r w:rsidRPr="00F37E51">
        <w:rPr>
          <w:rFonts w:ascii="Arial" w:hAnsi="Arial" w:cs="Arial"/>
        </w:rPr>
        <w:t xml:space="preserve"> and </w:t>
      </w:r>
      <w:proofErr w:type="spellStart"/>
      <w:r w:rsidRPr="00F37E51">
        <w:rPr>
          <w:rFonts w:ascii="Arial" w:hAnsi="Arial" w:cs="Arial"/>
        </w:rPr>
        <w:t>Risk</w:t>
      </w:r>
      <w:proofErr w:type="spellEnd"/>
      <w:r w:rsidRPr="00F37E51">
        <w:rPr>
          <w:rFonts w:ascii="Arial" w:hAnsi="Arial" w:cs="Arial"/>
        </w:rPr>
        <w:t xml:space="preserve"> of </w:t>
      </w:r>
      <w:proofErr w:type="spellStart"/>
      <w:r w:rsidRPr="00F37E51">
        <w:rPr>
          <w:rFonts w:ascii="Arial" w:hAnsi="Arial" w:cs="Arial"/>
        </w:rPr>
        <w:t>Mild</w:t>
      </w:r>
      <w:proofErr w:type="spellEnd"/>
      <w:r w:rsidRPr="00F37E51">
        <w:rPr>
          <w:rFonts w:ascii="Arial" w:hAnsi="Arial" w:cs="Arial"/>
        </w:rPr>
        <w:t xml:space="preserve"> </w:t>
      </w:r>
      <w:proofErr w:type="spellStart"/>
      <w:r w:rsidRPr="00F37E51">
        <w:rPr>
          <w:rFonts w:ascii="Arial" w:hAnsi="Arial" w:cs="Arial"/>
        </w:rPr>
        <w:t>Cognitive</w:t>
      </w:r>
      <w:proofErr w:type="spellEnd"/>
      <w:r w:rsidRPr="00F37E51">
        <w:rPr>
          <w:rFonts w:ascii="Arial" w:hAnsi="Arial" w:cs="Arial"/>
        </w:rPr>
        <w:t xml:space="preserve"> </w:t>
      </w:r>
      <w:proofErr w:type="spellStart"/>
      <w:r w:rsidRPr="00F37E51">
        <w:rPr>
          <w:rFonts w:ascii="Arial" w:hAnsi="Arial" w:cs="Arial"/>
        </w:rPr>
        <w:t>Impairment</w:t>
      </w:r>
      <w:proofErr w:type="spellEnd"/>
      <w:r>
        <w:rPr>
          <w:rFonts w:ascii="Arial" w:hAnsi="Arial" w:cs="Arial"/>
        </w:rPr>
        <w:t xml:space="preserve">. </w:t>
      </w:r>
      <w:r w:rsidRPr="00F37E51">
        <w:rPr>
          <w:rFonts w:ascii="Arial" w:hAnsi="Arial" w:cs="Arial"/>
        </w:rPr>
        <w:t xml:space="preserve">JAGS </w:t>
      </w:r>
      <w:r>
        <w:rPr>
          <w:rFonts w:ascii="Arial" w:hAnsi="Arial" w:cs="Arial"/>
        </w:rPr>
        <w:t>2015; 63:1783-1790.</w:t>
      </w:r>
    </w:p>
    <w:p w:rsidR="001976ED" w:rsidRPr="0084274B" w:rsidRDefault="001976ED" w:rsidP="001976ED">
      <w:pPr>
        <w:pStyle w:val="Prrafodelista"/>
        <w:numPr>
          <w:ilvl w:val="0"/>
          <w:numId w:val="13"/>
        </w:numPr>
        <w:tabs>
          <w:tab w:val="left" w:pos="567"/>
        </w:tabs>
        <w:spacing w:after="0" w:line="360" w:lineRule="auto"/>
        <w:jc w:val="both"/>
        <w:rPr>
          <w:rFonts w:ascii="Arial" w:hAnsi="Arial" w:cs="Arial"/>
          <w:lang w:val="en-US"/>
        </w:rPr>
      </w:pPr>
      <w:proofErr w:type="spellStart"/>
      <w:r w:rsidRPr="00D63315">
        <w:rPr>
          <w:rFonts w:ascii="Arial" w:hAnsi="Arial" w:cs="Arial"/>
          <w:lang w:val="en-US"/>
        </w:rPr>
        <w:t>Ilich</w:t>
      </w:r>
      <w:proofErr w:type="spellEnd"/>
      <w:r w:rsidRPr="00D63315">
        <w:rPr>
          <w:rFonts w:ascii="Arial" w:hAnsi="Arial" w:cs="Arial"/>
          <w:lang w:val="en-US"/>
        </w:rPr>
        <w:t xml:space="preserve"> JZ et al. </w:t>
      </w:r>
      <w:proofErr w:type="spellStart"/>
      <w:r w:rsidRPr="00D63315">
        <w:rPr>
          <w:rFonts w:ascii="Arial" w:hAnsi="Arial" w:cs="Arial"/>
          <w:lang w:val="en-US"/>
        </w:rPr>
        <w:t>Osteosarcopenic</w:t>
      </w:r>
      <w:proofErr w:type="spellEnd"/>
      <w:r w:rsidRPr="00D63315">
        <w:rPr>
          <w:rFonts w:ascii="Arial" w:hAnsi="Arial" w:cs="Arial"/>
          <w:lang w:val="en-US"/>
        </w:rPr>
        <w:t xml:space="preserve"> Obesity Syndrome: What Is It and How Can It Be Identified and Diagnosed</w:t>
      </w:r>
      <w:proofErr w:type="gramStart"/>
      <w:r w:rsidRPr="00D63315">
        <w:rPr>
          <w:rFonts w:ascii="Arial" w:hAnsi="Arial" w:cs="Arial"/>
          <w:lang w:val="en-US"/>
        </w:rPr>
        <w:t>?.</w:t>
      </w:r>
      <w:proofErr w:type="gramEnd"/>
      <w:r w:rsidRPr="00D63315">
        <w:rPr>
          <w:rFonts w:ascii="Arial" w:hAnsi="Arial" w:cs="Arial"/>
          <w:lang w:val="en-US"/>
        </w:rPr>
        <w:t xml:space="preserve"> </w:t>
      </w:r>
      <w:proofErr w:type="spellStart"/>
      <w:r w:rsidRPr="0084274B">
        <w:rPr>
          <w:rFonts w:ascii="Arial" w:hAnsi="Arial" w:cs="Arial"/>
          <w:lang w:val="en-US"/>
        </w:rPr>
        <w:t>Curr</w:t>
      </w:r>
      <w:proofErr w:type="spellEnd"/>
      <w:r w:rsidRPr="0084274B">
        <w:rPr>
          <w:rFonts w:ascii="Arial" w:hAnsi="Arial" w:cs="Arial"/>
          <w:lang w:val="en-US"/>
        </w:rPr>
        <w:t xml:space="preserve"> </w:t>
      </w:r>
      <w:proofErr w:type="spellStart"/>
      <w:r w:rsidRPr="0084274B">
        <w:rPr>
          <w:rFonts w:ascii="Arial" w:hAnsi="Arial" w:cs="Arial"/>
          <w:lang w:val="en-US"/>
        </w:rPr>
        <w:t>Gerontol</w:t>
      </w:r>
      <w:proofErr w:type="spellEnd"/>
      <w:r w:rsidRPr="0084274B">
        <w:rPr>
          <w:rFonts w:ascii="Arial" w:hAnsi="Arial" w:cs="Arial"/>
          <w:lang w:val="en-US"/>
        </w:rPr>
        <w:t xml:space="preserve"> </w:t>
      </w:r>
      <w:proofErr w:type="spellStart"/>
      <w:r w:rsidRPr="0084274B">
        <w:rPr>
          <w:rFonts w:ascii="Arial" w:hAnsi="Arial" w:cs="Arial"/>
          <w:lang w:val="en-US"/>
        </w:rPr>
        <w:t>Geriatr</w:t>
      </w:r>
      <w:proofErr w:type="spellEnd"/>
      <w:r w:rsidRPr="0084274B">
        <w:rPr>
          <w:rFonts w:ascii="Arial" w:hAnsi="Arial" w:cs="Arial"/>
          <w:lang w:val="en-US"/>
        </w:rPr>
        <w:t xml:space="preserve"> Res. 2016</w:t>
      </w:r>
      <w:proofErr w:type="gramStart"/>
      <w:r w:rsidRPr="0084274B">
        <w:rPr>
          <w:rFonts w:ascii="Arial" w:hAnsi="Arial" w:cs="Arial"/>
          <w:lang w:val="en-US"/>
        </w:rPr>
        <w:t>;2016:7325973</w:t>
      </w:r>
      <w:proofErr w:type="gramEnd"/>
      <w:r w:rsidRPr="0084274B">
        <w:rPr>
          <w:rFonts w:ascii="Arial" w:hAnsi="Arial" w:cs="Arial"/>
          <w:lang w:val="en-US"/>
        </w:rPr>
        <w:t xml:space="preserve">. </w:t>
      </w:r>
    </w:p>
    <w:p w:rsidR="001976ED" w:rsidRDefault="001976ED" w:rsidP="001976ED">
      <w:pPr>
        <w:pStyle w:val="Prrafodelista"/>
        <w:numPr>
          <w:ilvl w:val="0"/>
          <w:numId w:val="13"/>
        </w:numPr>
        <w:tabs>
          <w:tab w:val="left" w:pos="567"/>
        </w:tabs>
        <w:spacing w:after="200" w:line="360" w:lineRule="auto"/>
        <w:jc w:val="both"/>
        <w:rPr>
          <w:rFonts w:ascii="Arial" w:hAnsi="Arial" w:cs="Arial"/>
          <w:lang w:val="en-US"/>
        </w:rPr>
      </w:pPr>
      <w:proofErr w:type="spellStart"/>
      <w:proofErr w:type="gramStart"/>
      <w:r w:rsidRPr="003E55B5">
        <w:rPr>
          <w:rFonts w:ascii="Arial" w:hAnsi="Arial" w:cs="Arial"/>
          <w:lang w:val="en-US"/>
        </w:rPr>
        <w:t>Quiñones</w:t>
      </w:r>
      <w:proofErr w:type="spellEnd"/>
      <w:r w:rsidRPr="003E55B5">
        <w:rPr>
          <w:rFonts w:ascii="Arial" w:hAnsi="Arial" w:cs="Arial"/>
          <w:lang w:val="en-US"/>
        </w:rPr>
        <w:t xml:space="preserve">  A</w:t>
      </w:r>
      <w:proofErr w:type="gramEnd"/>
      <w:r w:rsidRPr="003E55B5">
        <w:rPr>
          <w:rFonts w:ascii="Arial" w:hAnsi="Arial" w:cs="Arial"/>
          <w:lang w:val="en-US"/>
        </w:rPr>
        <w:t xml:space="preserve">.  </w:t>
      </w:r>
      <w:proofErr w:type="spellStart"/>
      <w:proofErr w:type="gramStart"/>
      <w:r w:rsidRPr="003E55B5">
        <w:rPr>
          <w:rFonts w:ascii="Arial" w:hAnsi="Arial" w:cs="Arial"/>
          <w:lang w:val="en-US"/>
        </w:rPr>
        <w:t>Multimorbidity</w:t>
      </w:r>
      <w:proofErr w:type="spellEnd"/>
      <w:r w:rsidRPr="003E55B5">
        <w:rPr>
          <w:rFonts w:ascii="Arial" w:hAnsi="Arial" w:cs="Arial"/>
          <w:lang w:val="en-US"/>
        </w:rPr>
        <w:t xml:space="preserve">  Combinations</w:t>
      </w:r>
      <w:proofErr w:type="gramEnd"/>
      <w:r w:rsidRPr="003E55B5">
        <w:rPr>
          <w:rFonts w:ascii="Arial" w:hAnsi="Arial" w:cs="Arial"/>
          <w:lang w:val="en-US"/>
        </w:rPr>
        <w:t xml:space="preserve">  and  Disability  in  Older Adults.  J  </w:t>
      </w:r>
      <w:proofErr w:type="spellStart"/>
      <w:r w:rsidRPr="003E55B5">
        <w:rPr>
          <w:rFonts w:ascii="Arial" w:hAnsi="Arial" w:cs="Arial"/>
          <w:lang w:val="en-US"/>
        </w:rPr>
        <w:t>Gerontol</w:t>
      </w:r>
      <w:proofErr w:type="spellEnd"/>
      <w:r w:rsidRPr="003E55B5">
        <w:rPr>
          <w:rFonts w:ascii="Arial" w:hAnsi="Arial" w:cs="Arial"/>
          <w:lang w:val="en-US"/>
        </w:rPr>
        <w:t xml:space="preserve"> A </w:t>
      </w:r>
      <w:proofErr w:type="spellStart"/>
      <w:r w:rsidRPr="003E55B5">
        <w:rPr>
          <w:rFonts w:ascii="Arial" w:hAnsi="Arial" w:cs="Arial"/>
          <w:lang w:val="en-US"/>
        </w:rPr>
        <w:t>Biol</w:t>
      </w:r>
      <w:proofErr w:type="spellEnd"/>
      <w:r w:rsidRPr="003E55B5">
        <w:rPr>
          <w:rFonts w:ascii="Arial" w:hAnsi="Arial" w:cs="Arial"/>
          <w:lang w:val="en-US"/>
        </w:rPr>
        <w:t xml:space="preserve"> </w:t>
      </w:r>
      <w:proofErr w:type="spellStart"/>
      <w:r w:rsidRPr="003E55B5">
        <w:rPr>
          <w:rFonts w:ascii="Arial" w:hAnsi="Arial" w:cs="Arial"/>
          <w:lang w:val="en-US"/>
        </w:rPr>
        <w:t>Sci</w:t>
      </w:r>
      <w:proofErr w:type="spellEnd"/>
      <w:r w:rsidRPr="003E55B5">
        <w:rPr>
          <w:rFonts w:ascii="Arial" w:hAnsi="Arial" w:cs="Arial"/>
          <w:lang w:val="en-US"/>
        </w:rPr>
        <w:t xml:space="preserve"> Med </w:t>
      </w:r>
      <w:proofErr w:type="spellStart"/>
      <w:r w:rsidRPr="003E55B5">
        <w:rPr>
          <w:rFonts w:ascii="Arial" w:hAnsi="Arial" w:cs="Arial"/>
          <w:lang w:val="en-US"/>
        </w:rPr>
        <w:t>Sci</w:t>
      </w:r>
      <w:proofErr w:type="spellEnd"/>
      <w:r w:rsidRPr="003E55B5">
        <w:rPr>
          <w:rFonts w:ascii="Arial" w:hAnsi="Arial" w:cs="Arial"/>
          <w:lang w:val="en-US"/>
        </w:rPr>
        <w:t xml:space="preserve">, 2016, Vol. 00, No. 00, 1-8.  </w:t>
      </w:r>
    </w:p>
    <w:p w:rsidR="001976ED" w:rsidRPr="000B3629" w:rsidRDefault="001976ED" w:rsidP="001976ED">
      <w:pPr>
        <w:suppressAutoHyphens/>
        <w:spacing w:after="0" w:line="360" w:lineRule="auto"/>
        <w:ind w:left="360"/>
        <w:jc w:val="both"/>
        <w:rPr>
          <w:rFonts w:ascii="Arial" w:eastAsia="Times New Roman" w:hAnsi="Arial" w:cs="Arial"/>
          <w:sz w:val="24"/>
          <w:szCs w:val="24"/>
          <w:lang w:val="en-US" w:eastAsia="es-ES"/>
        </w:rPr>
      </w:pPr>
    </w:p>
    <w:p w:rsidR="001976ED" w:rsidRPr="002268AC" w:rsidRDefault="001976ED" w:rsidP="001976ED">
      <w:pPr>
        <w:pStyle w:val="Prrafodelista"/>
        <w:spacing w:line="360" w:lineRule="auto"/>
        <w:ind w:left="360"/>
        <w:jc w:val="both"/>
        <w:rPr>
          <w:rFonts w:ascii="Arial" w:hAnsi="Arial" w:cs="Arial"/>
          <w:lang w:val="es-ES"/>
        </w:rPr>
      </w:pPr>
    </w:p>
    <w:p w:rsidR="001976ED" w:rsidRPr="002268AC" w:rsidRDefault="001976ED" w:rsidP="001976ED"/>
    <w:p w:rsidR="00C9473D" w:rsidRPr="001976ED" w:rsidRDefault="00C9473D" w:rsidP="001976ED">
      <w:pPr>
        <w:rPr>
          <w:rFonts w:ascii="Arial" w:hAnsi="Arial" w:cs="Arial"/>
          <w:sz w:val="24"/>
        </w:rPr>
      </w:pPr>
      <w:bookmarkStart w:id="0" w:name="_GoBack"/>
      <w:bookmarkEnd w:id="0"/>
    </w:p>
    <w:sectPr w:rsidR="00C9473D" w:rsidRPr="001976ED" w:rsidSect="00DF1E92">
      <w:footerReference w:type="default" r:id="rId19"/>
      <w:pgSz w:w="11906" w:h="16838"/>
      <w:pgMar w:top="1417" w:right="1701" w:bottom="1417" w:left="1701"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A0" w:rsidRDefault="000149A0" w:rsidP="00A65CC4">
      <w:pPr>
        <w:spacing w:after="0" w:line="240" w:lineRule="auto"/>
      </w:pPr>
      <w:r>
        <w:separator/>
      </w:r>
    </w:p>
  </w:endnote>
  <w:endnote w:type="continuationSeparator" w:id="0">
    <w:p w:rsidR="000149A0" w:rsidRDefault="000149A0" w:rsidP="00A6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888640"/>
      <w:docPartObj>
        <w:docPartGallery w:val="Page Numbers (Bottom of Page)"/>
        <w:docPartUnique/>
      </w:docPartObj>
    </w:sdtPr>
    <w:sdtContent>
      <w:p w:rsidR="00DF1E92" w:rsidRDefault="00DF1E92">
        <w:pPr>
          <w:pStyle w:val="Piedepgina"/>
        </w:pPr>
        <w:r>
          <w:rPr>
            <w:noProof/>
            <w:lang w:eastAsia="es-ES"/>
          </w:rPr>
          <mc:AlternateContent>
            <mc:Choice Requires="wps">
              <w:drawing>
                <wp:anchor distT="0" distB="0" distL="114300" distR="114300" simplePos="0" relativeHeight="251659264" behindDoc="0" locked="0" layoutInCell="0" allowOverlap="1" wp14:anchorId="2FA6DA45" wp14:editId="2F10651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336550"/>
                  <wp:effectExtent l="0" t="0" r="12700" b="25400"/>
                  <wp:wrapNone/>
                  <wp:docPr id="571"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6550"/>
                          </a:xfrm>
                          <a:prstGeom prst="foldedCorner">
                            <a:avLst>
                              <a:gd name="adj" fmla="val 34560"/>
                            </a:avLst>
                          </a:prstGeom>
                          <a:solidFill>
                            <a:srgbClr val="FFFFFF"/>
                          </a:solidFill>
                          <a:ln w="3175">
                            <a:solidFill>
                              <a:srgbClr val="808080"/>
                            </a:solidFill>
                            <a:round/>
                            <a:headEnd/>
                            <a:tailEnd/>
                          </a:ln>
                        </wps:spPr>
                        <wps:txbx>
                          <w:txbxContent>
                            <w:p w:rsidR="00DF1E92" w:rsidRDefault="00DF1E92">
                              <w:pPr>
                                <w:jc w:val="center"/>
                              </w:pPr>
                              <w:r>
                                <w:fldChar w:fldCharType="begin"/>
                              </w:r>
                              <w:r>
                                <w:instrText>PAGE    \* MERGEFORMAT</w:instrText>
                              </w:r>
                              <w:r>
                                <w:fldChar w:fldCharType="separate"/>
                              </w:r>
                              <w:r w:rsidR="001976ED" w:rsidRPr="001976ED">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a 1" o:spid="_x0000_s1026" type="#_x0000_t65" style="position:absolute;margin-left:0;margin-top:0;width:29pt;height:26.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" o:allowincell="f" adj="14135" strokecolor="gray" strokeweight=".25pt">
                  <v:textbox>
                    <w:txbxContent>
                      <w:p w:rsidR="00DF1E92" w:rsidRDefault="00DF1E92">
                        <w:pPr>
                          <w:jc w:val="center"/>
                        </w:pPr>
                        <w:r>
                          <w:fldChar w:fldCharType="begin"/>
                        </w:r>
                        <w:r>
                          <w:instrText>PAGE    \* MERGEFORMAT</w:instrText>
                        </w:r>
                        <w:r>
                          <w:fldChar w:fldCharType="separate"/>
                        </w:r>
                        <w:r w:rsidR="001976ED" w:rsidRPr="001976ED">
                          <w:rPr>
                            <w:noProof/>
                            <w:sz w:val="16"/>
                            <w:szCs w:val="16"/>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A0" w:rsidRDefault="000149A0" w:rsidP="00A65CC4">
      <w:pPr>
        <w:spacing w:after="0" w:line="240" w:lineRule="auto"/>
      </w:pPr>
      <w:r>
        <w:separator/>
      </w:r>
    </w:p>
  </w:footnote>
  <w:footnote w:type="continuationSeparator" w:id="0">
    <w:p w:rsidR="000149A0" w:rsidRDefault="000149A0" w:rsidP="00A65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53"/>
    <w:multiLevelType w:val="hybridMultilevel"/>
    <w:tmpl w:val="31563716"/>
    <w:lvl w:ilvl="0" w:tplc="A81818B6">
      <w:start w:val="1"/>
      <w:numFmt w:val="bullet"/>
      <w:lvlText w:val=""/>
      <w:lvlJc w:val="left"/>
      <w:pPr>
        <w:ind w:left="720" w:hanging="360"/>
      </w:pPr>
      <w:rPr>
        <w:rFonts w:ascii="Wingdings" w:hAnsi="Wingdings" w:hint="default"/>
        <w:color w:val="0070C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015D8D"/>
    <w:multiLevelType w:val="multilevel"/>
    <w:tmpl w:val="AC7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34C0D"/>
    <w:multiLevelType w:val="hybridMultilevel"/>
    <w:tmpl w:val="50C03992"/>
    <w:lvl w:ilvl="0" w:tplc="FE5E28EE">
      <w:start w:val="1"/>
      <w:numFmt w:val="bullet"/>
      <w:lvlText w:val=""/>
      <w:lvlJc w:val="left"/>
      <w:pPr>
        <w:ind w:left="720" w:hanging="360"/>
      </w:pPr>
      <w:rPr>
        <w:rFonts w:ascii="Wingdings" w:hAnsi="Wingdings"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1810A6"/>
    <w:multiLevelType w:val="hybridMultilevel"/>
    <w:tmpl w:val="CBA04D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A5836B6"/>
    <w:multiLevelType w:val="multilevel"/>
    <w:tmpl w:val="2F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57541"/>
    <w:multiLevelType w:val="hybridMultilevel"/>
    <w:tmpl w:val="3684F74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CB5C94"/>
    <w:multiLevelType w:val="hybridMultilevel"/>
    <w:tmpl w:val="5E926D2C"/>
    <w:lvl w:ilvl="0" w:tplc="9FC02BB4">
      <w:start w:val="1"/>
      <w:numFmt w:val="decimal"/>
      <w:lvlText w:val="%1."/>
      <w:lvlJc w:val="left"/>
      <w:pPr>
        <w:ind w:left="36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4C3683"/>
    <w:multiLevelType w:val="hybridMultilevel"/>
    <w:tmpl w:val="7F3233C0"/>
    <w:lvl w:ilvl="0" w:tplc="C726A582">
      <w:start w:val="1"/>
      <w:numFmt w:val="bullet"/>
      <w:lvlText w:val=""/>
      <w:lvlJc w:val="left"/>
      <w:pPr>
        <w:ind w:left="720" w:hanging="360"/>
      </w:pPr>
      <w:rPr>
        <w:rFonts w:ascii="Wingdings" w:hAnsi="Wingdings" w:hint="default"/>
        <w:color w:val="00206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6152A9"/>
    <w:multiLevelType w:val="hybridMultilevel"/>
    <w:tmpl w:val="5E9AD864"/>
    <w:lvl w:ilvl="0" w:tplc="2364FC78">
      <w:start w:val="1"/>
      <w:numFmt w:val="bullet"/>
      <w:lvlText w:val=""/>
      <w:lvlJc w:val="left"/>
      <w:pPr>
        <w:ind w:left="720" w:hanging="360"/>
      </w:pPr>
      <w:rPr>
        <w:rFonts w:ascii="Wingdings" w:hAnsi="Wingdings" w:hint="default"/>
        <w:color w:val="0070C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0F04C5"/>
    <w:multiLevelType w:val="hybridMultilevel"/>
    <w:tmpl w:val="24E6F524"/>
    <w:lvl w:ilvl="0" w:tplc="2D6A912E">
      <w:start w:val="1"/>
      <w:numFmt w:val="bullet"/>
      <w:lvlText w:val=""/>
      <w:lvlJc w:val="left"/>
      <w:pPr>
        <w:ind w:left="720" w:hanging="360"/>
      </w:pPr>
      <w:rPr>
        <w:rFonts w:ascii="Wingdings" w:hAnsi="Wingdings" w:hint="default"/>
        <w:color w:val="0070C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D4845D1"/>
    <w:multiLevelType w:val="multilevel"/>
    <w:tmpl w:val="43F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654F79"/>
    <w:multiLevelType w:val="hybridMultilevel"/>
    <w:tmpl w:val="E04AF67A"/>
    <w:lvl w:ilvl="0" w:tplc="61EAD760">
      <w:start w:val="1"/>
      <w:numFmt w:val="bullet"/>
      <w:lvlText w:val=""/>
      <w:lvlJc w:val="left"/>
      <w:pPr>
        <w:ind w:left="720" w:hanging="360"/>
      </w:pPr>
      <w:rPr>
        <w:rFonts w:ascii="Wingdings" w:hAnsi="Wingdings" w:hint="default"/>
        <w:color w:val="0000F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7C53D9F"/>
    <w:multiLevelType w:val="hybridMultilevel"/>
    <w:tmpl w:val="60AE5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10"/>
  </w:num>
  <w:num w:numId="5">
    <w:abstractNumId w:val="12"/>
  </w:num>
  <w:num w:numId="6">
    <w:abstractNumId w:val="3"/>
  </w:num>
  <w:num w:numId="7">
    <w:abstractNumId w:val="5"/>
  </w:num>
  <w:num w:numId="8">
    <w:abstractNumId w:val="7"/>
  </w:num>
  <w:num w:numId="9">
    <w:abstractNumId w:val="2"/>
  </w:num>
  <w:num w:numId="10">
    <w:abstractNumId w:val="0"/>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3D"/>
    <w:rsid w:val="000149A0"/>
    <w:rsid w:val="0003466B"/>
    <w:rsid w:val="000966BE"/>
    <w:rsid w:val="001976ED"/>
    <w:rsid w:val="002A4636"/>
    <w:rsid w:val="0032428E"/>
    <w:rsid w:val="003246CF"/>
    <w:rsid w:val="003B2192"/>
    <w:rsid w:val="00412763"/>
    <w:rsid w:val="004A2878"/>
    <w:rsid w:val="005013B2"/>
    <w:rsid w:val="00526A21"/>
    <w:rsid w:val="00546A01"/>
    <w:rsid w:val="00601B69"/>
    <w:rsid w:val="00614C91"/>
    <w:rsid w:val="00650D78"/>
    <w:rsid w:val="00694347"/>
    <w:rsid w:val="006C6264"/>
    <w:rsid w:val="006E6E33"/>
    <w:rsid w:val="00710BDC"/>
    <w:rsid w:val="00732BF7"/>
    <w:rsid w:val="00750908"/>
    <w:rsid w:val="00774BA6"/>
    <w:rsid w:val="007B1D2F"/>
    <w:rsid w:val="007C0391"/>
    <w:rsid w:val="007C32EA"/>
    <w:rsid w:val="008016B3"/>
    <w:rsid w:val="00841A5D"/>
    <w:rsid w:val="008473FB"/>
    <w:rsid w:val="008633A5"/>
    <w:rsid w:val="00987F54"/>
    <w:rsid w:val="00992FD2"/>
    <w:rsid w:val="009D1927"/>
    <w:rsid w:val="00A25155"/>
    <w:rsid w:val="00A50790"/>
    <w:rsid w:val="00A65CC4"/>
    <w:rsid w:val="00A94A79"/>
    <w:rsid w:val="00AC20C0"/>
    <w:rsid w:val="00AC5A5A"/>
    <w:rsid w:val="00AF6989"/>
    <w:rsid w:val="00B277DF"/>
    <w:rsid w:val="00B307DC"/>
    <w:rsid w:val="00B362D8"/>
    <w:rsid w:val="00C9473D"/>
    <w:rsid w:val="00CA04CC"/>
    <w:rsid w:val="00CD078D"/>
    <w:rsid w:val="00CD6635"/>
    <w:rsid w:val="00CE3C0A"/>
    <w:rsid w:val="00D422E6"/>
    <w:rsid w:val="00D55A6A"/>
    <w:rsid w:val="00DC6239"/>
    <w:rsid w:val="00DE7224"/>
    <w:rsid w:val="00DF1E92"/>
    <w:rsid w:val="00E97FC9"/>
    <w:rsid w:val="00EB0109"/>
    <w:rsid w:val="00EB1BEB"/>
    <w:rsid w:val="00EC67A2"/>
    <w:rsid w:val="00EF2FF5"/>
    <w:rsid w:val="00F717D7"/>
    <w:rsid w:val="00FC4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73D"/>
    <w:rPr>
      <w:rFonts w:ascii="Tahoma" w:hAnsi="Tahoma" w:cs="Tahoma"/>
      <w:sz w:val="16"/>
      <w:szCs w:val="16"/>
    </w:rPr>
  </w:style>
  <w:style w:type="paragraph" w:styleId="Encabezado">
    <w:name w:val="header"/>
    <w:basedOn w:val="Normal"/>
    <w:link w:val="EncabezadoCar"/>
    <w:uiPriority w:val="99"/>
    <w:unhideWhenUsed/>
    <w:rsid w:val="00A65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C4"/>
  </w:style>
  <w:style w:type="paragraph" w:styleId="Piedepgina">
    <w:name w:val="footer"/>
    <w:basedOn w:val="Normal"/>
    <w:link w:val="PiedepginaCar"/>
    <w:uiPriority w:val="99"/>
    <w:unhideWhenUsed/>
    <w:rsid w:val="00A65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C4"/>
  </w:style>
  <w:style w:type="paragraph" w:styleId="Prrafodelista">
    <w:name w:val="List Paragraph"/>
    <w:basedOn w:val="Normal"/>
    <w:link w:val="PrrafodelistaCar"/>
    <w:uiPriority w:val="34"/>
    <w:qFormat/>
    <w:rsid w:val="00FC49DD"/>
    <w:pPr>
      <w:spacing w:after="160" w:line="259" w:lineRule="auto"/>
      <w:ind w:left="720"/>
      <w:contextualSpacing/>
    </w:pPr>
    <w:rPr>
      <w:lang w:val="es-MX"/>
    </w:rPr>
  </w:style>
  <w:style w:type="character" w:customStyle="1" w:styleId="PrrafodelistaCar">
    <w:name w:val="Párrafo de lista Car"/>
    <w:link w:val="Prrafodelista"/>
    <w:uiPriority w:val="34"/>
    <w:rsid w:val="00FC49DD"/>
    <w:rPr>
      <w:lang w:val="es-MX"/>
    </w:rPr>
  </w:style>
  <w:style w:type="paragraph" w:styleId="NormalWeb">
    <w:name w:val="Normal (Web)"/>
    <w:basedOn w:val="Normal"/>
    <w:uiPriority w:val="99"/>
    <w:unhideWhenUsed/>
    <w:rsid w:val="00FC49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ymbol">
    <w:name w:val="symbol"/>
    <w:basedOn w:val="Fuentedeprrafopredeter"/>
    <w:rsid w:val="00FC49DD"/>
  </w:style>
  <w:style w:type="character" w:styleId="Hipervnculo">
    <w:name w:val="Hyperlink"/>
    <w:basedOn w:val="Fuentedeprrafopredeter"/>
    <w:uiPriority w:val="99"/>
    <w:unhideWhenUsed/>
    <w:rsid w:val="00B277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73D"/>
    <w:rPr>
      <w:rFonts w:ascii="Tahoma" w:hAnsi="Tahoma" w:cs="Tahoma"/>
      <w:sz w:val="16"/>
      <w:szCs w:val="16"/>
    </w:rPr>
  </w:style>
  <w:style w:type="paragraph" w:styleId="Encabezado">
    <w:name w:val="header"/>
    <w:basedOn w:val="Normal"/>
    <w:link w:val="EncabezadoCar"/>
    <w:uiPriority w:val="99"/>
    <w:unhideWhenUsed/>
    <w:rsid w:val="00A65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C4"/>
  </w:style>
  <w:style w:type="paragraph" w:styleId="Piedepgina">
    <w:name w:val="footer"/>
    <w:basedOn w:val="Normal"/>
    <w:link w:val="PiedepginaCar"/>
    <w:uiPriority w:val="99"/>
    <w:unhideWhenUsed/>
    <w:rsid w:val="00A65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C4"/>
  </w:style>
  <w:style w:type="paragraph" w:styleId="Prrafodelista">
    <w:name w:val="List Paragraph"/>
    <w:basedOn w:val="Normal"/>
    <w:link w:val="PrrafodelistaCar"/>
    <w:uiPriority w:val="34"/>
    <w:qFormat/>
    <w:rsid w:val="00FC49DD"/>
    <w:pPr>
      <w:spacing w:after="160" w:line="259" w:lineRule="auto"/>
      <w:ind w:left="720"/>
      <w:contextualSpacing/>
    </w:pPr>
    <w:rPr>
      <w:lang w:val="es-MX"/>
    </w:rPr>
  </w:style>
  <w:style w:type="character" w:customStyle="1" w:styleId="PrrafodelistaCar">
    <w:name w:val="Párrafo de lista Car"/>
    <w:link w:val="Prrafodelista"/>
    <w:uiPriority w:val="34"/>
    <w:rsid w:val="00FC49DD"/>
    <w:rPr>
      <w:lang w:val="es-MX"/>
    </w:rPr>
  </w:style>
  <w:style w:type="paragraph" w:styleId="NormalWeb">
    <w:name w:val="Normal (Web)"/>
    <w:basedOn w:val="Normal"/>
    <w:uiPriority w:val="99"/>
    <w:unhideWhenUsed/>
    <w:rsid w:val="00FC49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ymbol">
    <w:name w:val="symbol"/>
    <w:basedOn w:val="Fuentedeprrafopredeter"/>
    <w:rsid w:val="00FC49DD"/>
  </w:style>
  <w:style w:type="character" w:styleId="Hipervnculo">
    <w:name w:val="Hyperlink"/>
    <w:basedOn w:val="Fuentedeprrafopredeter"/>
    <w:uiPriority w:val="99"/>
    <w:unhideWhenUsed/>
    <w:rsid w:val="00B27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vfinlay.sld.cu/index.php/finlay/article/view/418" TargetMode="External"/><Relationship Id="rId18" Type="http://schemas.openxmlformats.org/officeDocument/2006/relationships/hyperlink" Target="http://www.rabida.uhu.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org/en/development/desa/population/.../pdf/ageing/WPA2015_Report.pdf" TargetMode="External"/><Relationship Id="rId17" Type="http://schemas.openxmlformats.org/officeDocument/2006/relationships/hyperlink" Target="http://dx.doi.org/10.1016/j.jamda.2013.01.001" TargetMode="External"/><Relationship Id="rId2" Type="http://schemas.openxmlformats.org/officeDocument/2006/relationships/styles" Target="styles.xml"/><Relationship Id="rId16" Type="http://schemas.openxmlformats.org/officeDocument/2006/relationships/hyperlink" Target="https://www.alz.co.uk/sites/default/files/pdfs/dementia-in-the-america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2-0404-2457" TargetMode="External"/><Relationship Id="rId5" Type="http://schemas.openxmlformats.org/officeDocument/2006/relationships/webSettings" Target="webSettings.xml"/><Relationship Id="rId15" Type="http://schemas.openxmlformats.org/officeDocument/2006/relationships/hyperlink" Target="http://dx.doi.org/10.1016/j.rce.2016.10.007" TargetMode="External"/><Relationship Id="rId10" Type="http://schemas.openxmlformats.org/officeDocument/2006/relationships/hyperlink" Target="https://orcid.org/0000-0003-1924-245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2583-4701" TargetMode="External"/><Relationship Id="rId14" Type="http://schemas.openxmlformats.org/officeDocument/2006/relationships/hyperlink" Target="http://www.who.int/mediacentre/factsheets/fs355/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20</Pages>
  <Words>7853</Words>
  <Characters>43192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dc:creator>
  <cp:lastModifiedBy>Yoe</cp:lastModifiedBy>
  <cp:revision>44</cp:revision>
  <dcterms:created xsi:type="dcterms:W3CDTF">2002-02-05T01:11:00Z</dcterms:created>
  <dcterms:modified xsi:type="dcterms:W3CDTF">2002-02-01T03:35:00Z</dcterms:modified>
</cp:coreProperties>
</file>