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B2" w:rsidRDefault="008431B2" w:rsidP="00DB7C4C">
      <w:pPr>
        <w:jc w:val="both"/>
      </w:pPr>
      <w:r w:rsidRPr="00D9504D">
        <w:rPr>
          <w:rFonts w:ascii="Arial" w:hAnsi="Arial" w:cs="Arial"/>
          <w:b/>
          <w:sz w:val="24"/>
        </w:rPr>
        <w:t xml:space="preserve">Las Condiciones Crónicas Múltiples </w:t>
      </w:r>
      <w:r w:rsidR="00DB7C4C">
        <w:rPr>
          <w:rFonts w:ascii="Arial" w:hAnsi="Arial" w:cs="Arial"/>
          <w:b/>
          <w:sz w:val="24"/>
        </w:rPr>
        <w:t xml:space="preserve">y sus impactos </w:t>
      </w:r>
      <w:r w:rsidRPr="00D9504D">
        <w:rPr>
          <w:rFonts w:ascii="Arial" w:hAnsi="Arial" w:cs="Arial"/>
          <w:b/>
          <w:sz w:val="24"/>
        </w:rPr>
        <w:t xml:space="preserve">en </w:t>
      </w:r>
      <w:r w:rsidR="00D9504D">
        <w:rPr>
          <w:rFonts w:ascii="Arial" w:hAnsi="Arial" w:cs="Arial"/>
          <w:b/>
          <w:sz w:val="24"/>
        </w:rPr>
        <w:t>países seleccionados de América Latina y el Caribe</w:t>
      </w:r>
      <w:r>
        <w:t>.</w:t>
      </w:r>
    </w:p>
    <w:p w:rsidR="008431B2" w:rsidRPr="008431B2" w:rsidRDefault="008431B2" w:rsidP="008431B2"/>
    <w:p w:rsidR="008431B2" w:rsidRPr="00C10077" w:rsidRDefault="00C10077" w:rsidP="00C10077">
      <w:pPr>
        <w:spacing w:after="0"/>
        <w:jc w:val="both"/>
        <w:rPr>
          <w:rFonts w:ascii="Arial" w:hAnsi="Arial" w:cs="Arial"/>
        </w:rPr>
      </w:pPr>
      <w:r w:rsidRPr="00D91C48">
        <w:rPr>
          <w:rFonts w:ascii="Arial" w:hAnsi="Arial" w:cs="Arial"/>
        </w:rPr>
        <w:t xml:space="preserve">El incremento </w:t>
      </w:r>
      <w:r>
        <w:rPr>
          <w:rFonts w:ascii="Arial" w:hAnsi="Arial" w:cs="Arial"/>
        </w:rPr>
        <w:t xml:space="preserve">en el número de </w:t>
      </w:r>
      <w:r w:rsidRPr="00D91C48">
        <w:rPr>
          <w:rFonts w:ascii="Arial" w:hAnsi="Arial" w:cs="Arial"/>
        </w:rPr>
        <w:t>personas mayores</w:t>
      </w:r>
      <w:r>
        <w:rPr>
          <w:rFonts w:ascii="Arial" w:hAnsi="Arial" w:cs="Arial"/>
        </w:rPr>
        <w:t xml:space="preserve"> y la prolongación de la vida</w:t>
      </w:r>
      <w:r w:rsidRPr="00F029D3">
        <w:rPr>
          <w:rFonts w:ascii="Arial" w:hAnsi="Arial" w:cs="Arial"/>
        </w:rPr>
        <w:t xml:space="preserve">, implicará aumentos tanto en </w:t>
      </w:r>
      <w:r>
        <w:rPr>
          <w:rFonts w:ascii="Arial" w:hAnsi="Arial" w:cs="Arial"/>
        </w:rPr>
        <w:t>la proporción de</w:t>
      </w:r>
      <w:r w:rsidRPr="00F029D3">
        <w:rPr>
          <w:rFonts w:ascii="Arial" w:hAnsi="Arial" w:cs="Arial"/>
        </w:rPr>
        <w:t xml:space="preserve"> personas que experimentan alguna </w:t>
      </w:r>
      <w:r>
        <w:rPr>
          <w:rFonts w:ascii="Arial" w:hAnsi="Arial" w:cs="Arial"/>
        </w:rPr>
        <w:t>enfermedad</w:t>
      </w:r>
      <w:r w:rsidRPr="00F029D3">
        <w:rPr>
          <w:rFonts w:ascii="Arial" w:hAnsi="Arial" w:cs="Arial"/>
        </w:rPr>
        <w:t xml:space="preserve"> o discapacidad, como en el número de años que sobrevivan con el peso de </w:t>
      </w:r>
      <w:r>
        <w:rPr>
          <w:rFonts w:ascii="Arial" w:hAnsi="Arial" w:cs="Arial"/>
        </w:rPr>
        <w:t xml:space="preserve">sus </w:t>
      </w:r>
      <w:r w:rsidRPr="00F029D3">
        <w:rPr>
          <w:rFonts w:ascii="Arial" w:hAnsi="Arial" w:cs="Arial"/>
        </w:rPr>
        <w:t xml:space="preserve">padecimientos. </w:t>
      </w:r>
      <w:r w:rsidRPr="00300DE6">
        <w:rPr>
          <w:rFonts w:ascii="Arial" w:hAnsi="Arial" w:cs="Arial"/>
        </w:rPr>
        <w:t>A medida que la población envejece, la importancia de las enfermedades crónicas como</w:t>
      </w:r>
      <w:r>
        <w:rPr>
          <w:rFonts w:ascii="Arial" w:hAnsi="Arial" w:cs="Arial"/>
        </w:rPr>
        <w:t xml:space="preserve"> </w:t>
      </w:r>
      <w:r w:rsidRPr="00300DE6">
        <w:rPr>
          <w:rFonts w:ascii="Arial" w:hAnsi="Arial" w:cs="Arial"/>
        </w:rPr>
        <w:t>principal</w:t>
      </w:r>
      <w:r>
        <w:rPr>
          <w:rFonts w:ascii="Arial" w:hAnsi="Arial" w:cs="Arial"/>
        </w:rPr>
        <w:t>es</w:t>
      </w:r>
      <w:r w:rsidRPr="00300DE6">
        <w:rPr>
          <w:rFonts w:ascii="Arial" w:hAnsi="Arial" w:cs="Arial"/>
        </w:rPr>
        <w:t xml:space="preserve"> causa</w:t>
      </w:r>
      <w:r>
        <w:rPr>
          <w:rFonts w:ascii="Arial" w:hAnsi="Arial" w:cs="Arial"/>
        </w:rPr>
        <w:t>s</w:t>
      </w:r>
      <w:r w:rsidRPr="00300DE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morbilidad y </w:t>
      </w:r>
      <w:r w:rsidRPr="00300DE6">
        <w:rPr>
          <w:rFonts w:ascii="Arial" w:hAnsi="Arial" w:cs="Arial"/>
        </w:rPr>
        <w:t>muerte</w:t>
      </w:r>
      <w:r>
        <w:rPr>
          <w:rFonts w:ascii="Arial" w:hAnsi="Arial" w:cs="Arial"/>
        </w:rPr>
        <w:t>,</w:t>
      </w:r>
      <w:r w:rsidRPr="00300DE6">
        <w:rPr>
          <w:rFonts w:ascii="Arial" w:hAnsi="Arial" w:cs="Arial"/>
        </w:rPr>
        <w:t xml:space="preserve"> aumenta.</w:t>
      </w:r>
    </w:p>
    <w:p w:rsidR="00C10077" w:rsidRPr="00C10077" w:rsidRDefault="00C10077" w:rsidP="00C10077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C10077" w:rsidRDefault="00C10077" w:rsidP="00C10077">
      <w:pPr>
        <w:jc w:val="both"/>
        <w:rPr>
          <w:rFonts w:ascii="Arial" w:hAnsi="Arial" w:cs="Arial"/>
        </w:rPr>
      </w:pPr>
      <w:r w:rsidRPr="00D761AA">
        <w:rPr>
          <w:rFonts w:ascii="Arial" w:hAnsi="Arial" w:cs="Arial"/>
        </w:rPr>
        <w:t>Muchas de ellas comparten los mismos</w:t>
      </w:r>
      <w:r>
        <w:rPr>
          <w:rFonts w:ascii="Arial" w:hAnsi="Arial" w:cs="Arial"/>
        </w:rPr>
        <w:t xml:space="preserve"> </w:t>
      </w:r>
      <w:r w:rsidRPr="00D761AA">
        <w:rPr>
          <w:rFonts w:ascii="Arial" w:hAnsi="Arial" w:cs="Arial"/>
        </w:rPr>
        <w:t>factores de riesgo, relacionados con cambios notables en los</w:t>
      </w:r>
      <w:r>
        <w:rPr>
          <w:rFonts w:ascii="Arial" w:hAnsi="Arial" w:cs="Arial"/>
        </w:rPr>
        <w:t xml:space="preserve"> </w:t>
      </w:r>
      <w:r w:rsidRPr="00D761AA">
        <w:rPr>
          <w:rFonts w:ascii="Arial" w:hAnsi="Arial" w:cs="Arial"/>
        </w:rPr>
        <w:t xml:space="preserve">estilos de vida, como el </w:t>
      </w:r>
      <w:r>
        <w:rPr>
          <w:rFonts w:ascii="Arial" w:hAnsi="Arial" w:cs="Arial"/>
        </w:rPr>
        <w:t>consumo tabáquico</w:t>
      </w:r>
      <w:r w:rsidRPr="00D761AA">
        <w:rPr>
          <w:rFonts w:ascii="Arial" w:hAnsi="Arial" w:cs="Arial"/>
        </w:rPr>
        <w:t>, la</w:t>
      </w:r>
      <w:r>
        <w:rPr>
          <w:rFonts w:ascii="Arial" w:hAnsi="Arial" w:cs="Arial"/>
        </w:rPr>
        <w:t xml:space="preserve"> </w:t>
      </w:r>
      <w:r w:rsidRPr="00D761AA">
        <w:rPr>
          <w:rFonts w:ascii="Arial" w:hAnsi="Arial" w:cs="Arial"/>
        </w:rPr>
        <w:t>inactividad física, el uso nocivo del alcohol y las dietas no</w:t>
      </w:r>
      <w:r>
        <w:rPr>
          <w:rFonts w:ascii="Arial" w:hAnsi="Arial" w:cs="Arial"/>
        </w:rPr>
        <w:t xml:space="preserve"> saludables, por lo que la prevención desde etapas tempranas de la vida reviste un papel primordial en el control de las mismas y una forma de aproximarse al logro de un envejecimiento saludable. </w:t>
      </w:r>
    </w:p>
    <w:p w:rsidR="00C10077" w:rsidRDefault="00C10077" w:rsidP="00C100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solo el envejecimiento poblacional ha influido en </w:t>
      </w:r>
      <w:r w:rsidRPr="00890F0D">
        <w:rPr>
          <w:rFonts w:ascii="Arial" w:hAnsi="Arial" w:cs="Arial"/>
        </w:rPr>
        <w:t xml:space="preserve"> el  incremento  de  la</w:t>
      </w:r>
      <w:r>
        <w:rPr>
          <w:rFonts w:ascii="Arial" w:hAnsi="Arial" w:cs="Arial"/>
        </w:rPr>
        <w:t xml:space="preserve"> m</w:t>
      </w:r>
      <w:r w:rsidRPr="00890F0D">
        <w:rPr>
          <w:rFonts w:ascii="Arial" w:hAnsi="Arial" w:cs="Arial"/>
        </w:rPr>
        <w:t>ultimorbilidad</w:t>
      </w:r>
      <w:r>
        <w:rPr>
          <w:rFonts w:ascii="Arial" w:hAnsi="Arial" w:cs="Arial"/>
        </w:rPr>
        <w:t>, ya que otros  fac</w:t>
      </w:r>
      <w:r w:rsidRPr="009B032B">
        <w:rPr>
          <w:rFonts w:ascii="Arial" w:hAnsi="Arial" w:cs="Arial"/>
        </w:rPr>
        <w:t>tores, principalmente de tipo socioeconómico, juegan un</w:t>
      </w:r>
      <w:r>
        <w:rPr>
          <w:rFonts w:ascii="Arial" w:hAnsi="Arial" w:cs="Arial"/>
        </w:rPr>
        <w:t xml:space="preserve"> </w:t>
      </w:r>
      <w:r w:rsidRPr="009B032B">
        <w:rPr>
          <w:rFonts w:ascii="Arial" w:hAnsi="Arial" w:cs="Arial"/>
        </w:rPr>
        <w:t>papel esencial en esta tendencia</w:t>
      </w:r>
      <w:r>
        <w:rPr>
          <w:rFonts w:ascii="Arial" w:hAnsi="Arial" w:cs="Arial"/>
        </w:rPr>
        <w:t xml:space="preserve">. </w:t>
      </w:r>
      <w:r w:rsidRPr="00C10077">
        <w:rPr>
          <w:rFonts w:ascii="Arial" w:hAnsi="Arial" w:cs="Arial"/>
        </w:rPr>
        <w:t>Datos del proyecto Carga Mundial de la Morbi</w:t>
      </w:r>
      <w:r>
        <w:rPr>
          <w:rFonts w:ascii="Arial" w:hAnsi="Arial" w:cs="Arial"/>
        </w:rPr>
        <w:t xml:space="preserve">lidad, </w:t>
      </w:r>
      <w:r w:rsidRPr="00C10077">
        <w:rPr>
          <w:rFonts w:ascii="Arial" w:hAnsi="Arial" w:cs="Arial"/>
        </w:rPr>
        <w:t xml:space="preserve">muestran diferencias en la carga que representan estas enfermedades crónicas en los países de altos, medianos y bajos ingresos. </w:t>
      </w:r>
    </w:p>
    <w:p w:rsidR="004F3424" w:rsidRDefault="004F3424" w:rsidP="00C100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Datos de encuestas de estudios longitudinales de México, Brasil y Cuba muestran prevalencias de multimorbilidad cercanas o superiores al 30% en los tres países, en particular en Cuba, donde sobrepasa el 50% el autorreporte de 2 o más enfermedades crónicas en las personas mayores del país, hecho este que puede estar relacionado entre otros factores, a un mayor diagnóstico o conocimiento de estos padecimientos por parte de la población. </w:t>
      </w:r>
    </w:p>
    <w:p w:rsidR="001A605E" w:rsidRPr="001A605E" w:rsidRDefault="001A605E" w:rsidP="00C10077">
      <w:pPr>
        <w:jc w:val="both"/>
        <w:rPr>
          <w:rFonts w:ascii="Arial" w:hAnsi="Arial" w:cs="Arial"/>
          <w:sz w:val="14"/>
        </w:rPr>
      </w:pPr>
    </w:p>
    <w:p w:rsidR="004F3424" w:rsidRPr="00C10077" w:rsidRDefault="001A605E" w:rsidP="001A605E">
      <w:pPr>
        <w:spacing w:after="0" w:line="240" w:lineRule="auto"/>
        <w:jc w:val="center"/>
        <w:rPr>
          <w:rFonts w:ascii="Arial" w:hAnsi="Arial" w:cs="Arial"/>
        </w:rPr>
      </w:pPr>
      <w:r w:rsidRPr="0046572F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 xml:space="preserve">Porcentaje de población de 60 o más años según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 xml:space="preserve">presencia de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 xml:space="preserve">enfermedades crónicas en México, Cuba </w:t>
      </w:r>
      <w:r w:rsidRPr="0046572F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>y Brasil.</w:t>
      </w:r>
    </w:p>
    <w:p w:rsidR="0087726D" w:rsidRDefault="008431B2" w:rsidP="008431B2">
      <w:pPr>
        <w:ind w:firstLine="708"/>
      </w:pPr>
      <w:r>
        <w:rPr>
          <w:noProof/>
          <w:lang w:eastAsia="es-ES"/>
        </w:rPr>
        <w:drawing>
          <wp:inline distT="0" distB="0" distL="0" distR="0" wp14:anchorId="0DB4202F" wp14:editId="4829B082">
            <wp:extent cx="5340350" cy="2603500"/>
            <wp:effectExtent l="0" t="0" r="0" b="63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A605E" w:rsidRDefault="001A605E" w:rsidP="00634799">
      <w:pPr>
        <w:jc w:val="both"/>
        <w:rPr>
          <w:rFonts w:ascii="Arial" w:hAnsi="Arial" w:cs="Arial"/>
        </w:rPr>
      </w:pPr>
    </w:p>
    <w:p w:rsidR="003747D7" w:rsidRDefault="00634799" w:rsidP="006347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</w:t>
      </w:r>
      <w:r w:rsidRPr="00634799">
        <w:rPr>
          <w:rFonts w:ascii="Arial" w:hAnsi="Arial" w:cs="Arial"/>
        </w:rPr>
        <w:t xml:space="preserve">a reciente epidemia </w:t>
      </w:r>
      <w:r>
        <w:rPr>
          <w:rFonts w:ascii="Arial" w:hAnsi="Arial" w:cs="Arial"/>
        </w:rPr>
        <w:t>por COVID-19 también ha causado impacto</w:t>
      </w:r>
      <w:r w:rsidR="003747D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en la morbilidad y mortalidad por estas afecciones crónicas a nivel mundial y regional, lo que podría ser motivo de otros estudios comparativos respec</w:t>
      </w:r>
      <w:r w:rsidR="003747D7">
        <w:rPr>
          <w:rFonts w:ascii="Arial" w:hAnsi="Arial" w:cs="Arial"/>
        </w:rPr>
        <w:t xml:space="preserve">to a datos previos existentes en los países. </w:t>
      </w:r>
    </w:p>
    <w:p w:rsidR="00634799" w:rsidRPr="00634799" w:rsidRDefault="003747D7" w:rsidP="006347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fomento del autocuidado mediante la implementación de medidas y </w:t>
      </w:r>
      <w:r>
        <w:rPr>
          <w:rFonts w:ascii="Arial" w:hAnsi="Arial" w:cs="Arial"/>
        </w:rPr>
        <w:t xml:space="preserve">programas </w:t>
      </w:r>
      <w:r w:rsidR="001A605E">
        <w:rPr>
          <w:rFonts w:ascii="Arial" w:hAnsi="Arial" w:cs="Arial"/>
        </w:rPr>
        <w:t xml:space="preserve">que lo estimulen y desarrollen, siguiendo un </w:t>
      </w:r>
      <w:r>
        <w:rPr>
          <w:rFonts w:ascii="Arial" w:hAnsi="Arial" w:cs="Arial"/>
        </w:rPr>
        <w:t>enfoque de curso de vida</w:t>
      </w:r>
      <w:r w:rsidR="001A605E">
        <w:rPr>
          <w:rFonts w:ascii="Arial" w:hAnsi="Arial" w:cs="Arial"/>
        </w:rPr>
        <w:t xml:space="preserve"> que permita introducirlo desde etapas muy tempranas y hasta las edades avanzadas, se hace necesario para la disminución o postergación de muchas de las condiciones crónicas.  </w:t>
      </w:r>
      <w:r>
        <w:rPr>
          <w:rFonts w:ascii="Arial" w:hAnsi="Arial" w:cs="Arial"/>
        </w:rPr>
        <w:t xml:space="preserve"> </w:t>
      </w:r>
    </w:p>
    <w:p w:rsidR="0087726D" w:rsidRDefault="0087726D" w:rsidP="0087726D"/>
    <w:p w:rsidR="00C10077" w:rsidRDefault="00C10077" w:rsidP="0087726D"/>
    <w:p w:rsidR="00C10077" w:rsidRDefault="00C10077" w:rsidP="0087726D"/>
    <w:p w:rsidR="0087726D" w:rsidRDefault="0087726D" w:rsidP="0087726D"/>
    <w:p w:rsidR="0087726D" w:rsidRPr="0002503C" w:rsidRDefault="0087726D" w:rsidP="0087726D">
      <w:pPr>
        <w:spacing w:after="0" w:line="240" w:lineRule="auto"/>
        <w:rPr>
          <w:rFonts w:ascii="Arial" w:hAnsi="Arial" w:cs="Arial"/>
          <w:sz w:val="24"/>
        </w:rPr>
      </w:pPr>
      <w:r w:rsidRPr="0002503C">
        <w:rPr>
          <w:rFonts w:ascii="Arial" w:hAnsi="Arial" w:cs="Arial"/>
          <w:sz w:val="24"/>
        </w:rPr>
        <w:t xml:space="preserve">Centro Colaborador OPS/OMS </w:t>
      </w:r>
    </w:p>
    <w:p w:rsidR="0087726D" w:rsidRDefault="0087726D" w:rsidP="0087726D">
      <w:pPr>
        <w:spacing w:after="0" w:line="240" w:lineRule="auto"/>
        <w:rPr>
          <w:rFonts w:ascii="Arial" w:hAnsi="Arial" w:cs="Arial"/>
          <w:sz w:val="24"/>
        </w:rPr>
      </w:pPr>
      <w:r w:rsidRPr="0002503C">
        <w:rPr>
          <w:rFonts w:ascii="Arial" w:hAnsi="Arial" w:cs="Arial"/>
          <w:sz w:val="24"/>
        </w:rPr>
        <w:t>Salud Pública y Envejecimiento</w:t>
      </w:r>
    </w:p>
    <w:p w:rsidR="0087726D" w:rsidRDefault="0087726D" w:rsidP="0087726D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Centro de Investigaciones sobre Longevidad, Envejecimiento y Salud. CITED</w:t>
      </w:r>
    </w:p>
    <w:p w:rsidR="00925053" w:rsidRPr="0087726D" w:rsidRDefault="00925053" w:rsidP="0087726D"/>
    <w:sectPr w:rsidR="00925053" w:rsidRPr="008772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B2"/>
    <w:rsid w:val="001A605E"/>
    <w:rsid w:val="003747D7"/>
    <w:rsid w:val="004F3424"/>
    <w:rsid w:val="00634799"/>
    <w:rsid w:val="008431B2"/>
    <w:rsid w:val="0087726D"/>
    <w:rsid w:val="00925053"/>
    <w:rsid w:val="00C10077"/>
    <w:rsid w:val="00D9504D"/>
    <w:rsid w:val="00DB32A0"/>
    <w:rsid w:val="00DB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594693772819033"/>
          <c:y val="4.4770044770044773E-2"/>
          <c:w val="0.53362516831488938"/>
          <c:h val="0.85326962334836354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Hoja1!$A$2</c:f>
              <c:strCache>
                <c:ptCount val="1"/>
                <c:pt idx="0">
                  <c:v>ELSI 2016 Brasil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(Hoja1!$B$1,Hoja1!$C$1,Hoja1!$D$1)</c:f>
              <c:strCache>
                <c:ptCount val="3"/>
                <c:pt idx="0">
                  <c:v>0</c:v>
                </c:pt>
                <c:pt idx="1">
                  <c:v>1</c:v>
                </c:pt>
                <c:pt idx="2">
                  <c:v>2 o más</c:v>
                </c:pt>
              </c:strCache>
            </c:strRef>
          </c:cat>
          <c:val>
            <c:numRef>
              <c:f>(Hoja1!$B$2,Hoja1!$C$2,Hoja1!$D$2)</c:f>
              <c:numCache>
                <c:formatCode>General</c:formatCode>
                <c:ptCount val="3"/>
                <c:pt idx="0">
                  <c:v>27.1</c:v>
                </c:pt>
                <c:pt idx="1">
                  <c:v>33.1</c:v>
                </c:pt>
                <c:pt idx="2">
                  <c:v>39.799999999999997</c:v>
                </c:pt>
              </c:numCache>
            </c:numRef>
          </c:val>
        </c:ser>
        <c:ser>
          <c:idx val="1"/>
          <c:order val="1"/>
          <c:tx>
            <c:strRef>
              <c:f>Hoja1!$A$3</c:f>
              <c:strCache>
                <c:ptCount val="1"/>
                <c:pt idx="0">
                  <c:v>ENEP 2017 Cuba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(Hoja1!$B$1,Hoja1!$C$1,Hoja1!$D$1)</c:f>
              <c:strCache>
                <c:ptCount val="3"/>
                <c:pt idx="0">
                  <c:v>0</c:v>
                </c:pt>
                <c:pt idx="1">
                  <c:v>1</c:v>
                </c:pt>
                <c:pt idx="2">
                  <c:v>2 o más</c:v>
                </c:pt>
              </c:strCache>
            </c:strRef>
          </c:cat>
          <c:val>
            <c:numRef>
              <c:f>(Hoja1!$B$3,Hoja1!$C$3,Hoja1!$D$3)</c:f>
              <c:numCache>
                <c:formatCode>General</c:formatCode>
                <c:ptCount val="3"/>
                <c:pt idx="0">
                  <c:v>16.600000000000001</c:v>
                </c:pt>
                <c:pt idx="1">
                  <c:v>27.1</c:v>
                </c:pt>
                <c:pt idx="2">
                  <c:v>56.2</c:v>
                </c:pt>
              </c:numCache>
            </c:numRef>
          </c:val>
        </c:ser>
        <c:ser>
          <c:idx val="2"/>
          <c:order val="2"/>
          <c:tx>
            <c:strRef>
              <c:f>Hoja1!$A$4</c:f>
              <c:strCache>
                <c:ptCount val="1"/>
                <c:pt idx="0">
                  <c:v>ENASEM 2018 México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(Hoja1!$B$1,Hoja1!$C$1,Hoja1!$D$1)</c:f>
              <c:strCache>
                <c:ptCount val="3"/>
                <c:pt idx="0">
                  <c:v>0</c:v>
                </c:pt>
                <c:pt idx="1">
                  <c:v>1</c:v>
                </c:pt>
                <c:pt idx="2">
                  <c:v>2 o más</c:v>
                </c:pt>
              </c:strCache>
            </c:strRef>
          </c:cat>
          <c:val>
            <c:numRef>
              <c:f>(Hoja1!$B$4,Hoja1!$C$4,Hoja1!$D$4)</c:f>
              <c:numCache>
                <c:formatCode>General</c:formatCode>
                <c:ptCount val="3"/>
                <c:pt idx="0">
                  <c:v>37.6</c:v>
                </c:pt>
                <c:pt idx="1">
                  <c:v>32.9</c:v>
                </c:pt>
                <c:pt idx="2">
                  <c:v>29.5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3757696"/>
        <c:axId val="123759232"/>
        <c:axId val="0"/>
      </c:bar3DChart>
      <c:catAx>
        <c:axId val="12375769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es-ES"/>
          </a:p>
        </c:txPr>
        <c:crossAx val="123759232"/>
        <c:crosses val="autoZero"/>
        <c:auto val="1"/>
        <c:lblAlgn val="ctr"/>
        <c:lblOffset val="100"/>
        <c:noMultiLvlLbl val="0"/>
      </c:catAx>
      <c:valAx>
        <c:axId val="12375923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237576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434096360831465"/>
          <c:y val="0.27169272133666217"/>
          <c:w val="0.23420111355338533"/>
          <c:h val="0.39161359708085264"/>
        </c:manualLayout>
      </c:layout>
      <c:overlay val="0"/>
      <c:txPr>
        <a:bodyPr/>
        <a:lstStyle/>
        <a:p>
          <a:pPr>
            <a:defRPr sz="1100" b="1"/>
          </a:pPr>
          <a:endParaRPr lang="es-E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</dc:creator>
  <cp:lastModifiedBy>Yoe</cp:lastModifiedBy>
  <cp:revision>9</cp:revision>
  <dcterms:created xsi:type="dcterms:W3CDTF">2002-01-16T00:44:00Z</dcterms:created>
  <dcterms:modified xsi:type="dcterms:W3CDTF">2002-02-01T01:30:00Z</dcterms:modified>
</cp:coreProperties>
</file>