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72" w:rsidRPr="00612472" w:rsidRDefault="00612472" w:rsidP="0061247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612472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Predicción </w:t>
      </w:r>
      <w:r w:rsidRPr="00612472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in </w:t>
      </w:r>
      <w:proofErr w:type="spellStart"/>
      <w:r w:rsidRPr="00612472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silico</w:t>
      </w:r>
      <w:proofErr w:type="spellEnd"/>
      <w:r w:rsidRPr="00612472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Pr="00612472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de la actividad </w:t>
      </w:r>
      <w:proofErr w:type="spellStart"/>
      <w:r w:rsidRPr="00612472">
        <w:rPr>
          <w:rFonts w:ascii="Arial" w:eastAsia="Times New Roman" w:hAnsi="Arial" w:cs="Arial"/>
          <w:b/>
          <w:bCs/>
          <w:sz w:val="24"/>
          <w:szCs w:val="24"/>
          <w:lang w:val="es-MX"/>
        </w:rPr>
        <w:t>inmunomoduladora</w:t>
      </w:r>
      <w:proofErr w:type="spellEnd"/>
      <w:r w:rsidRPr="00612472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de los compuestos bioactivos de </w:t>
      </w:r>
      <w:proofErr w:type="spellStart"/>
      <w:r w:rsidRPr="00612472">
        <w:rPr>
          <w:rFonts w:ascii="Arial" w:eastAsia="Times New Roman" w:hAnsi="Arial" w:cs="Arial"/>
          <w:b/>
          <w:bCs/>
          <w:sz w:val="24"/>
          <w:szCs w:val="24"/>
          <w:lang w:val="es-MX"/>
        </w:rPr>
        <w:t>de</w:t>
      </w:r>
      <w:proofErr w:type="spellEnd"/>
      <w:r w:rsidRPr="00612472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612472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Petiveria</w:t>
      </w:r>
      <w:proofErr w:type="spellEnd"/>
      <w:r w:rsidRPr="00612472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612472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alliacea</w:t>
      </w:r>
      <w:proofErr w:type="spellEnd"/>
      <w:r w:rsidRPr="00612472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Pr="00612472">
        <w:rPr>
          <w:rFonts w:ascii="Arial" w:eastAsia="Times New Roman" w:hAnsi="Arial" w:cs="Arial"/>
          <w:b/>
          <w:bCs/>
          <w:sz w:val="24"/>
          <w:szCs w:val="24"/>
          <w:lang w:val="es-MX"/>
        </w:rPr>
        <w:t>(anamú)</w:t>
      </w:r>
    </w:p>
    <w:p w:rsidR="00F74168" w:rsidRDefault="00F74168" w:rsidP="00F74168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</w:p>
    <w:p w:rsidR="003C22C5" w:rsidRDefault="003C22C5" w:rsidP="006C68FB">
      <w:pPr>
        <w:spacing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Autores</w:t>
      </w:r>
      <w:r>
        <w:rPr>
          <w:rFonts w:ascii="Arial" w:eastAsia="Times New Roman" w:hAnsi="Arial" w:cs="Arial"/>
          <w:szCs w:val="24"/>
          <w:lang w:val="es-MX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. Onel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Fong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 Lores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1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Clara Azalea Berenguer Rivas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Humberto Joaquín Morris Quevedo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MSc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. Sandra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Hechavarría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 Lafargue</w:t>
      </w:r>
      <w:r w:rsidR="006C68FB">
        <w:rPr>
          <w:rFonts w:ascii="Arial" w:eastAsia="Times New Roman" w:hAnsi="Arial" w:cs="Arial"/>
          <w:vertAlign w:val="superscript"/>
          <w:lang w:val="es-ES_tradnl"/>
        </w:rPr>
        <w:t>3</w:t>
      </w:r>
      <w:r w:rsidR="006C68FB" w:rsidRPr="006C68FB">
        <w:rPr>
          <w:rFonts w:ascii="Arial" w:eastAsia="Times New Roman" w:hAnsi="Arial" w:cs="Arial"/>
          <w:lang w:val="es-ES_tradnl"/>
        </w:rPr>
        <w:t xml:space="preserve">, Lic.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Anisleidys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 Labrada Hechavarría</w:t>
      </w:r>
      <w:r w:rsidR="006C68FB">
        <w:rPr>
          <w:rFonts w:ascii="Arial" w:eastAsia="Times New Roman" w:hAnsi="Arial" w:cs="Arial"/>
          <w:vertAlign w:val="superscript"/>
          <w:lang w:val="es-ES_tradnl"/>
        </w:rPr>
        <w:t>3</w:t>
      </w:r>
      <w:r>
        <w:rPr>
          <w:rFonts w:ascii="Arial" w:eastAsia="Times New Roman" w:hAnsi="Arial" w:cs="Arial"/>
          <w:szCs w:val="24"/>
          <w:lang w:val="es-MX"/>
        </w:rPr>
        <w:t>.</w:t>
      </w:r>
    </w:p>
    <w:p w:rsidR="003C22C5" w:rsidRPr="00004D9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Instituciones</w:t>
      </w:r>
      <w:r>
        <w:rPr>
          <w:rFonts w:ascii="Arial" w:eastAsia="Times New Roman" w:hAnsi="Arial" w:cs="Arial"/>
          <w:szCs w:val="24"/>
          <w:lang w:val="es-MX"/>
        </w:rPr>
        <w:t>: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Centro de Toxicología y Biomedicina (TOXIMED). Universidad de Ciencias Médicas de Santiago de Cuba.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Departamento de Farmacia. Universidad de Oriente.</w:t>
      </w:r>
    </w:p>
    <w:p w:rsidR="003C22C5" w:rsidRPr="00004D9F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 xml:space="preserve">Laboratorio </w:t>
      </w:r>
      <w:r w:rsidR="006C68FB">
        <w:rPr>
          <w:rFonts w:ascii="Arial" w:eastAsia="Times New Roman" w:hAnsi="Arial" w:cs="Arial"/>
          <w:szCs w:val="24"/>
          <w:lang w:val="es-MX"/>
        </w:rPr>
        <w:t>Farmacéutico Oriente</w:t>
      </w:r>
      <w:r>
        <w:rPr>
          <w:rFonts w:ascii="Arial" w:eastAsia="Times New Roman" w:hAnsi="Arial" w:cs="Arial"/>
          <w:szCs w:val="24"/>
          <w:lang w:val="es-MX"/>
        </w:rPr>
        <w:t>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3C22C5" w:rsidRPr="00AA48D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AA48DF">
        <w:rPr>
          <w:rFonts w:ascii="Arial" w:eastAsia="Times New Roman" w:hAnsi="Arial" w:cs="Arial"/>
          <w:b/>
          <w:sz w:val="24"/>
          <w:szCs w:val="24"/>
          <w:lang w:val="es-MX"/>
        </w:rPr>
        <w:t>Resumen</w:t>
      </w:r>
    </w:p>
    <w:p w:rsidR="00612472" w:rsidRPr="00612472" w:rsidRDefault="003C22C5" w:rsidP="00612472">
      <w:pPr>
        <w:spacing w:line="240" w:lineRule="auto"/>
        <w:jc w:val="both"/>
        <w:rPr>
          <w:rFonts w:ascii="Arial" w:eastAsia="Times New Roman" w:hAnsi="Arial" w:cs="Arial"/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Introducción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</w:t>
      </w:r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La disfunción del sistema inmunológico está implicada en el desarrollo de diversas enfermedades inflamatorias, autoinmunes y neurodegenerativas. En este contexto, las plantas medicinales constituyen una fuente importante de compuestos bioactivos con potencial </w:t>
      </w:r>
      <w:proofErr w:type="spellStart"/>
      <w:r w:rsidR="00612472" w:rsidRPr="00612472">
        <w:rPr>
          <w:rFonts w:ascii="Arial" w:eastAsia="Times New Roman" w:hAnsi="Arial" w:cs="Arial"/>
          <w:szCs w:val="24"/>
          <w:lang w:val="es-MX"/>
        </w:rPr>
        <w:t>inmunomodulador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. </w:t>
      </w:r>
      <w:proofErr w:type="spellStart"/>
      <w:r w:rsidR="00612472" w:rsidRPr="00612472">
        <w:rPr>
          <w:rFonts w:ascii="Arial" w:eastAsia="Times New Roman" w:hAnsi="Arial" w:cs="Arial"/>
          <w:i/>
          <w:szCs w:val="24"/>
          <w:lang w:val="es-MX"/>
        </w:rPr>
        <w:t>Petiveria</w:t>
      </w:r>
      <w:proofErr w:type="spellEnd"/>
      <w:r w:rsidR="00612472" w:rsidRPr="00612472">
        <w:rPr>
          <w:rFonts w:ascii="Arial" w:eastAsia="Times New Roman" w:hAnsi="Arial" w:cs="Arial"/>
          <w:i/>
          <w:szCs w:val="24"/>
          <w:lang w:val="es-MX"/>
        </w:rPr>
        <w:t xml:space="preserve"> </w:t>
      </w:r>
      <w:proofErr w:type="spellStart"/>
      <w:r w:rsidR="00612472" w:rsidRPr="00612472">
        <w:rPr>
          <w:rFonts w:ascii="Arial" w:eastAsia="Times New Roman" w:hAnsi="Arial" w:cs="Arial"/>
          <w:i/>
          <w:szCs w:val="24"/>
          <w:lang w:val="es-MX"/>
        </w:rPr>
        <w:t>alliacea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 L., conocida como anamú, es una especie ampliamente utilizada en la medicina tradicional del Caribe y América Latina y contiene metabolitos secundarios como compuestos </w:t>
      </w:r>
      <w:proofErr w:type="spellStart"/>
      <w:r w:rsidR="00612472" w:rsidRPr="00612472">
        <w:rPr>
          <w:rFonts w:ascii="Arial" w:eastAsia="Times New Roman" w:hAnsi="Arial" w:cs="Arial"/>
          <w:szCs w:val="24"/>
          <w:lang w:val="es-MX"/>
        </w:rPr>
        <w:t>organosulfurados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, flavonoides y otros compuestos fenólicos con propiedades biológicas relevantes. El objetivo de este estudio fue predecir </w:t>
      </w:r>
      <w:r w:rsidR="00612472" w:rsidRPr="00612472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="00612472" w:rsidRPr="00612472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 el potencial </w:t>
      </w:r>
      <w:proofErr w:type="spellStart"/>
      <w:r w:rsidR="00612472" w:rsidRPr="00612472">
        <w:rPr>
          <w:rFonts w:ascii="Arial" w:eastAsia="Times New Roman" w:hAnsi="Arial" w:cs="Arial"/>
          <w:szCs w:val="24"/>
          <w:lang w:val="es-MX"/>
        </w:rPr>
        <w:t>inmunomodulador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 de compuestos bioactivos reportados en esta planta mediante el análisis de sus posibles dianas moleculares.</w:t>
      </w:r>
      <w:r w:rsidR="00612472">
        <w:rPr>
          <w:rFonts w:ascii="Arial" w:eastAsia="Times New Roman" w:hAnsi="Arial" w:cs="Arial"/>
          <w:szCs w:val="24"/>
          <w:lang w:val="es-MX"/>
        </w:rPr>
        <w:t xml:space="preserve"> </w:t>
      </w:r>
      <w:r w:rsidR="00612472" w:rsidRPr="00612472">
        <w:rPr>
          <w:rFonts w:ascii="Arial" w:eastAsia="Times New Roman" w:hAnsi="Arial" w:cs="Arial"/>
          <w:b/>
          <w:szCs w:val="24"/>
          <w:lang w:val="es-MX"/>
        </w:rPr>
        <w:t>Metodología</w:t>
      </w:r>
      <w:r w:rsidR="00612472" w:rsidRPr="00612472">
        <w:rPr>
          <w:rFonts w:ascii="Arial" w:eastAsia="Times New Roman" w:hAnsi="Arial" w:cs="Arial"/>
          <w:szCs w:val="24"/>
          <w:lang w:val="es-MX"/>
        </w:rPr>
        <w:t>:</w:t>
      </w:r>
      <w:r w:rsidR="00612472">
        <w:rPr>
          <w:rFonts w:ascii="Arial" w:eastAsia="Times New Roman" w:hAnsi="Arial" w:cs="Arial"/>
          <w:szCs w:val="24"/>
          <w:lang w:val="es-MX"/>
        </w:rPr>
        <w:t xml:space="preserve"> </w:t>
      </w:r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Se seleccionaron metabolitos representativos descritos para </w:t>
      </w:r>
      <w:r w:rsidR="00612472" w:rsidRPr="00612472">
        <w:rPr>
          <w:rFonts w:ascii="Arial" w:eastAsia="Times New Roman" w:hAnsi="Arial" w:cs="Arial"/>
          <w:i/>
          <w:szCs w:val="24"/>
          <w:lang w:val="es-MX"/>
        </w:rPr>
        <w:t xml:space="preserve">P. </w:t>
      </w:r>
      <w:proofErr w:type="spellStart"/>
      <w:r w:rsidR="00612472" w:rsidRPr="00612472">
        <w:rPr>
          <w:rFonts w:ascii="Arial" w:eastAsia="Times New Roman" w:hAnsi="Arial" w:cs="Arial"/>
          <w:i/>
          <w:szCs w:val="24"/>
          <w:lang w:val="es-MX"/>
        </w:rPr>
        <w:t>alliacea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. Las estructuras químicas fueron obtenidas de bases de datos especializadas y analizadas mediante herramientas de </w:t>
      </w:r>
      <w:proofErr w:type="spellStart"/>
      <w:r w:rsidR="00612472" w:rsidRPr="00612472">
        <w:rPr>
          <w:rFonts w:ascii="Arial" w:eastAsia="Times New Roman" w:hAnsi="Arial" w:cs="Arial"/>
          <w:szCs w:val="24"/>
          <w:lang w:val="es-MX"/>
        </w:rPr>
        <w:t>quimioinformática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 para predecir posibles proteínas blanco implicadas en la regulación de la respuesta inmunológica y los procesos inflamatorios.</w:t>
      </w:r>
      <w:r w:rsidR="00612472">
        <w:rPr>
          <w:rFonts w:ascii="Arial" w:eastAsia="Times New Roman" w:hAnsi="Arial" w:cs="Arial"/>
          <w:szCs w:val="24"/>
          <w:lang w:val="es-MX"/>
        </w:rPr>
        <w:t xml:space="preserve"> </w:t>
      </w:r>
      <w:r w:rsidR="00612472" w:rsidRPr="00612472">
        <w:rPr>
          <w:rFonts w:ascii="Arial" w:eastAsia="Times New Roman" w:hAnsi="Arial" w:cs="Arial"/>
          <w:b/>
          <w:szCs w:val="24"/>
          <w:lang w:val="es-MX"/>
        </w:rPr>
        <w:t>Resultados</w:t>
      </w:r>
      <w:r w:rsidR="00612472" w:rsidRPr="00612472">
        <w:rPr>
          <w:rFonts w:ascii="Arial" w:eastAsia="Times New Roman" w:hAnsi="Arial" w:cs="Arial"/>
          <w:szCs w:val="24"/>
          <w:lang w:val="es-MX"/>
        </w:rPr>
        <w:t>:</w:t>
      </w:r>
      <w:r w:rsidR="00612472">
        <w:rPr>
          <w:rFonts w:ascii="Arial" w:eastAsia="Times New Roman" w:hAnsi="Arial" w:cs="Arial"/>
          <w:szCs w:val="24"/>
          <w:lang w:val="es-MX"/>
        </w:rPr>
        <w:t xml:space="preserve"> </w:t>
      </w:r>
      <w:r w:rsidR="00612472" w:rsidRPr="00612472">
        <w:rPr>
          <w:rFonts w:ascii="Arial" w:eastAsia="Times New Roman" w:hAnsi="Arial" w:cs="Arial"/>
          <w:szCs w:val="24"/>
          <w:lang w:val="es-MX"/>
        </w:rPr>
        <w:t>Los análisis predijeron interacciones potenciales entre varios metabolitos de la planta y proteínas clave asociadas con la</w:t>
      </w:r>
      <w:bookmarkStart w:id="0" w:name="_GoBack"/>
      <w:bookmarkEnd w:id="0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 regulación del sistema inmunológico. Entre las principales dianas identificadas se encuentran mediadores de la respuesta inflamatoria como NF-</w:t>
      </w:r>
      <w:r w:rsidR="00612472" w:rsidRPr="00612472">
        <w:rPr>
          <w:rFonts w:ascii="Arial" w:eastAsia="Times New Roman" w:hAnsi="Arial" w:cs="Arial"/>
          <w:szCs w:val="24"/>
        </w:rPr>
        <w:t>κ</w:t>
      </w:r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B, proteínas relacionadas con la señalización celular como MAPK y reguladores del equilibrio </w:t>
      </w:r>
      <w:proofErr w:type="spellStart"/>
      <w:r w:rsidR="00612472" w:rsidRPr="00612472">
        <w:rPr>
          <w:rFonts w:ascii="Arial" w:eastAsia="Times New Roman" w:hAnsi="Arial" w:cs="Arial"/>
          <w:szCs w:val="24"/>
          <w:lang w:val="es-MX"/>
        </w:rPr>
        <w:t>redox</w:t>
      </w:r>
      <w:proofErr w:type="spellEnd"/>
      <w:r w:rsidR="00612472" w:rsidRPr="00612472">
        <w:rPr>
          <w:rFonts w:ascii="Arial" w:eastAsia="Times New Roman" w:hAnsi="Arial" w:cs="Arial"/>
          <w:szCs w:val="24"/>
          <w:lang w:val="es-MX"/>
        </w:rPr>
        <w:t xml:space="preserve"> como Nrf2. Estas interacciones sugieren que los compuestos bioactivos de la planta podrían modular múltiples vías celulares implicadas en la respuesta inmunitaria.</w:t>
      </w:r>
      <w:r w:rsidR="00612472">
        <w:rPr>
          <w:rFonts w:ascii="Arial" w:eastAsia="Times New Roman" w:hAnsi="Arial" w:cs="Arial"/>
          <w:szCs w:val="24"/>
          <w:lang w:val="es-MX"/>
        </w:rPr>
        <w:t xml:space="preserve"> </w:t>
      </w:r>
      <w:r w:rsidR="00612472" w:rsidRPr="00612472">
        <w:rPr>
          <w:rFonts w:ascii="Arial" w:eastAsia="Times New Roman" w:hAnsi="Arial" w:cs="Arial"/>
          <w:b/>
          <w:szCs w:val="24"/>
          <w:lang w:val="es-MX"/>
        </w:rPr>
        <w:t>Conclusiones</w:t>
      </w:r>
      <w:r w:rsidR="00612472">
        <w:rPr>
          <w:rFonts w:ascii="Arial" w:eastAsia="Times New Roman" w:hAnsi="Arial" w:cs="Arial"/>
          <w:szCs w:val="24"/>
          <w:lang w:val="es-MX"/>
        </w:rPr>
        <w:t xml:space="preserve">: </w:t>
      </w:r>
      <w:r w:rsidR="00612472" w:rsidRPr="00612472">
        <w:rPr>
          <w:rFonts w:ascii="Arial" w:eastAsia="Times New Roman" w:hAnsi="Arial" w:cs="Arial"/>
          <w:lang w:val="es-MX"/>
        </w:rPr>
        <w:t xml:space="preserve">Los resultados </w:t>
      </w:r>
      <w:r w:rsidR="00612472" w:rsidRPr="00612472">
        <w:rPr>
          <w:rFonts w:ascii="Arial" w:eastAsia="Times New Roman" w:hAnsi="Arial" w:cs="Arial"/>
          <w:i/>
          <w:iCs/>
          <w:lang w:val="es-MX"/>
        </w:rPr>
        <w:t xml:space="preserve">in </w:t>
      </w:r>
      <w:proofErr w:type="spellStart"/>
      <w:r w:rsidR="00612472" w:rsidRPr="00612472">
        <w:rPr>
          <w:rFonts w:ascii="Arial" w:eastAsia="Times New Roman" w:hAnsi="Arial" w:cs="Arial"/>
          <w:i/>
          <w:iCs/>
          <w:lang w:val="es-MX"/>
        </w:rPr>
        <w:t>silico</w:t>
      </w:r>
      <w:proofErr w:type="spellEnd"/>
      <w:r w:rsidR="00612472" w:rsidRPr="00612472">
        <w:rPr>
          <w:rFonts w:ascii="Arial" w:eastAsia="Times New Roman" w:hAnsi="Arial" w:cs="Arial"/>
          <w:i/>
          <w:iCs/>
          <w:lang w:val="es-MX"/>
        </w:rPr>
        <w:t xml:space="preserve"> </w:t>
      </w:r>
      <w:r w:rsidR="00612472" w:rsidRPr="00612472">
        <w:rPr>
          <w:rFonts w:ascii="Arial" w:eastAsia="Times New Roman" w:hAnsi="Arial" w:cs="Arial"/>
          <w:lang w:val="es-MX"/>
        </w:rPr>
        <w:t xml:space="preserve">sugieren que los metabolitos de </w:t>
      </w:r>
      <w:proofErr w:type="spellStart"/>
      <w:r w:rsidR="00612472" w:rsidRPr="00612472">
        <w:rPr>
          <w:rFonts w:ascii="Arial" w:eastAsia="Times New Roman" w:hAnsi="Arial" w:cs="Arial"/>
          <w:i/>
          <w:iCs/>
          <w:lang w:val="es-MX"/>
        </w:rPr>
        <w:t>Petiveria</w:t>
      </w:r>
      <w:proofErr w:type="spellEnd"/>
      <w:r w:rsidR="00612472" w:rsidRPr="00612472">
        <w:rPr>
          <w:rFonts w:ascii="Arial" w:eastAsia="Times New Roman" w:hAnsi="Arial" w:cs="Arial"/>
          <w:i/>
          <w:iCs/>
          <w:lang w:val="es-MX"/>
        </w:rPr>
        <w:t xml:space="preserve"> </w:t>
      </w:r>
      <w:proofErr w:type="spellStart"/>
      <w:r w:rsidR="00612472" w:rsidRPr="00612472">
        <w:rPr>
          <w:rFonts w:ascii="Arial" w:eastAsia="Times New Roman" w:hAnsi="Arial" w:cs="Arial"/>
          <w:i/>
          <w:iCs/>
          <w:lang w:val="es-MX"/>
        </w:rPr>
        <w:t>alliacea</w:t>
      </w:r>
      <w:proofErr w:type="spellEnd"/>
      <w:r w:rsidR="00612472" w:rsidRPr="00612472">
        <w:rPr>
          <w:rFonts w:ascii="Arial" w:eastAsia="Times New Roman" w:hAnsi="Arial" w:cs="Arial"/>
          <w:i/>
          <w:iCs/>
          <w:lang w:val="es-MX"/>
        </w:rPr>
        <w:t xml:space="preserve"> </w:t>
      </w:r>
      <w:r w:rsidR="00612472" w:rsidRPr="00612472">
        <w:rPr>
          <w:rFonts w:ascii="Arial" w:eastAsia="Times New Roman" w:hAnsi="Arial" w:cs="Arial"/>
          <w:lang w:val="es-MX"/>
        </w:rPr>
        <w:t xml:space="preserve">presentan un potencial perfil </w:t>
      </w:r>
      <w:proofErr w:type="spellStart"/>
      <w:r w:rsidR="00612472" w:rsidRPr="00612472">
        <w:rPr>
          <w:rFonts w:ascii="Arial" w:eastAsia="Times New Roman" w:hAnsi="Arial" w:cs="Arial"/>
          <w:lang w:val="es-MX"/>
        </w:rPr>
        <w:t>inmunomodulador</w:t>
      </w:r>
      <w:proofErr w:type="spellEnd"/>
      <w:r w:rsidR="00612472" w:rsidRPr="00612472">
        <w:rPr>
          <w:rFonts w:ascii="Arial" w:eastAsia="Times New Roman" w:hAnsi="Arial" w:cs="Arial"/>
          <w:lang w:val="es-MX"/>
        </w:rPr>
        <w:t xml:space="preserve"> multidiana. Estos hallazgos respaldan el interés farmacológico de la especie y proporcionan una base teórica para futuros estudios experimentales orientados al desarrollo de posibles fitomedicamentos con actividad </w:t>
      </w:r>
      <w:proofErr w:type="spellStart"/>
      <w:r w:rsidR="00612472" w:rsidRPr="00612472">
        <w:rPr>
          <w:rFonts w:ascii="Arial" w:eastAsia="Times New Roman" w:hAnsi="Arial" w:cs="Arial"/>
          <w:lang w:val="es-MX"/>
        </w:rPr>
        <w:t>inmunorreguladora</w:t>
      </w:r>
      <w:proofErr w:type="spellEnd"/>
      <w:r w:rsidR="00612472" w:rsidRPr="00612472">
        <w:rPr>
          <w:rFonts w:ascii="Arial" w:eastAsia="Times New Roman" w:hAnsi="Arial" w:cs="Arial"/>
          <w:lang w:val="es-MX"/>
        </w:rPr>
        <w:t>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751C75" w:rsidRPr="00F74168" w:rsidRDefault="003C22C5" w:rsidP="00612472">
      <w:pPr>
        <w:jc w:val="both"/>
        <w:rPr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Palabras clave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</w:t>
      </w:r>
      <w:proofErr w:type="spellStart"/>
      <w:r w:rsidR="006C68FB">
        <w:rPr>
          <w:rFonts w:ascii="Arial" w:eastAsia="Times New Roman" w:hAnsi="Arial" w:cs="Arial"/>
          <w:i/>
          <w:szCs w:val="24"/>
          <w:lang w:val="es-MX"/>
        </w:rPr>
        <w:t>Petiveria</w:t>
      </w:r>
      <w:proofErr w:type="spellEnd"/>
      <w:r w:rsidR="006C68FB">
        <w:rPr>
          <w:rFonts w:ascii="Arial" w:eastAsia="Times New Roman" w:hAnsi="Arial" w:cs="Arial"/>
          <w:i/>
          <w:szCs w:val="24"/>
          <w:lang w:val="es-MX"/>
        </w:rPr>
        <w:t xml:space="preserve"> </w:t>
      </w:r>
      <w:proofErr w:type="spellStart"/>
      <w:r w:rsidR="006C68FB">
        <w:rPr>
          <w:rFonts w:ascii="Arial" w:eastAsia="Times New Roman" w:hAnsi="Arial" w:cs="Arial"/>
          <w:i/>
          <w:szCs w:val="24"/>
          <w:lang w:val="es-MX"/>
        </w:rPr>
        <w:t>alliacea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="00612472">
        <w:rPr>
          <w:rFonts w:ascii="Arial" w:eastAsia="Times New Roman" w:hAnsi="Arial" w:cs="Arial"/>
          <w:szCs w:val="24"/>
          <w:lang w:val="es-MX"/>
        </w:rPr>
        <w:t>inmunomodulador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r w:rsidRPr="00AA48DF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Pr="00AA48DF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>, compuestos</w:t>
      </w:r>
      <w:r>
        <w:rPr>
          <w:rFonts w:ascii="Arial" w:eastAsia="Times New Roman" w:hAnsi="Arial" w:cs="Arial"/>
          <w:szCs w:val="24"/>
          <w:lang w:val="es-MX"/>
        </w:rPr>
        <w:t xml:space="preserve"> bioactivos, dianas moleculares</w:t>
      </w:r>
      <w:r w:rsidRPr="00E069FF">
        <w:rPr>
          <w:rFonts w:ascii="Arial" w:eastAsia="Times New Roman" w:hAnsi="Arial" w:cs="Arial"/>
          <w:szCs w:val="24"/>
          <w:lang w:val="es-MX"/>
        </w:rPr>
        <w:t>. </w:t>
      </w:r>
    </w:p>
    <w:sectPr w:rsidR="00751C75" w:rsidRPr="00F74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B7468"/>
    <w:multiLevelType w:val="hybridMultilevel"/>
    <w:tmpl w:val="4D0C32EE"/>
    <w:lvl w:ilvl="0" w:tplc="3EA4760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68"/>
    <w:rsid w:val="003C22C5"/>
    <w:rsid w:val="005636C2"/>
    <w:rsid w:val="00612472"/>
    <w:rsid w:val="006C68FB"/>
    <w:rsid w:val="00751C75"/>
    <w:rsid w:val="00E02206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F01C"/>
  <w15:chartTrackingRefBased/>
  <w15:docId w15:val="{DBF0F976-394D-4EE9-AFA0-AA285F79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8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2026-03-14T17:50:00Z</dcterms:created>
  <dcterms:modified xsi:type="dcterms:W3CDTF">2026-03-14T17:50:00Z</dcterms:modified>
</cp:coreProperties>
</file>