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31" w:rsidRPr="00095831" w:rsidRDefault="00095831" w:rsidP="0009583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095831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Evaluación </w:t>
      </w:r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in </w:t>
      </w:r>
      <w:proofErr w:type="spellStart"/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silico</w:t>
      </w:r>
      <w:proofErr w:type="spellEnd"/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Pr="00095831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del potencial </w:t>
      </w:r>
      <w:proofErr w:type="spellStart"/>
      <w:r w:rsidRPr="00095831">
        <w:rPr>
          <w:rFonts w:ascii="Arial" w:eastAsia="Times New Roman" w:hAnsi="Arial" w:cs="Arial"/>
          <w:b/>
          <w:bCs/>
          <w:sz w:val="24"/>
          <w:szCs w:val="24"/>
          <w:lang w:val="es-MX"/>
        </w:rPr>
        <w:t>neuroprotector</w:t>
      </w:r>
      <w:proofErr w:type="spellEnd"/>
      <w:r w:rsidRPr="00095831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de </w:t>
      </w:r>
      <w:proofErr w:type="spellStart"/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Cymbopogon</w:t>
      </w:r>
      <w:proofErr w:type="spellEnd"/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citratus</w:t>
      </w:r>
      <w:proofErr w:type="spellEnd"/>
      <w:r w:rsidRPr="00095831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Pr="00095831">
        <w:rPr>
          <w:rFonts w:ascii="Arial" w:eastAsia="Times New Roman" w:hAnsi="Arial" w:cs="Arial"/>
          <w:b/>
          <w:bCs/>
          <w:sz w:val="24"/>
          <w:szCs w:val="24"/>
          <w:lang w:val="es-MX"/>
        </w:rPr>
        <w:t>(caña santa)</w:t>
      </w:r>
    </w:p>
    <w:p w:rsidR="00F74168" w:rsidRDefault="00F74168" w:rsidP="00F74168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6C68FB">
      <w:pPr>
        <w:spacing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Autores</w:t>
      </w:r>
      <w:r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. Onel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Fong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 Lores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1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Clara Azalea Berenguer Rivas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Humberto Joaquín Morris Quevedo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MSc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. Sandra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Hechavarría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 Lafargue</w:t>
      </w:r>
      <w:r w:rsidR="006C68FB">
        <w:rPr>
          <w:rFonts w:ascii="Arial" w:eastAsia="Times New Roman" w:hAnsi="Arial" w:cs="Arial"/>
          <w:vertAlign w:val="superscript"/>
          <w:lang w:val="es-ES_tradnl"/>
        </w:rPr>
        <w:t>3</w:t>
      </w:r>
      <w:r w:rsidR="006C68FB" w:rsidRPr="006C68FB">
        <w:rPr>
          <w:rFonts w:ascii="Arial" w:eastAsia="Times New Roman" w:hAnsi="Arial" w:cs="Arial"/>
          <w:lang w:val="es-ES_tradnl"/>
        </w:rPr>
        <w:t xml:space="preserve">, </w:t>
      </w:r>
      <w:r w:rsidR="00095831" w:rsidRPr="00095831">
        <w:rPr>
          <w:rFonts w:ascii="Arial" w:eastAsia="Times New Roman" w:hAnsi="Arial" w:cs="Arial"/>
          <w:lang w:val="es-ES_tradnl"/>
        </w:rPr>
        <w:t xml:space="preserve">Lic. </w:t>
      </w:r>
      <w:proofErr w:type="spellStart"/>
      <w:r w:rsidR="00095831" w:rsidRPr="00095831">
        <w:rPr>
          <w:rFonts w:ascii="Arial" w:eastAsia="Times New Roman" w:hAnsi="Arial" w:cs="Arial"/>
          <w:lang w:val="es-ES_tradnl"/>
        </w:rPr>
        <w:t>Yilien</w:t>
      </w:r>
      <w:proofErr w:type="spellEnd"/>
      <w:r w:rsidR="00095831" w:rsidRPr="00095831">
        <w:rPr>
          <w:rFonts w:ascii="Arial" w:eastAsia="Times New Roman" w:hAnsi="Arial" w:cs="Arial"/>
          <w:lang w:val="es-ES_tradnl"/>
        </w:rPr>
        <w:t xml:space="preserve"> Fernández Urdaneta</w:t>
      </w:r>
      <w:r w:rsidR="00095831">
        <w:rPr>
          <w:rFonts w:ascii="Arial" w:eastAsia="Times New Roman" w:hAnsi="Arial" w:cs="Arial"/>
          <w:vertAlign w:val="superscript"/>
          <w:lang w:val="es-ES_tradnl"/>
        </w:rPr>
        <w:t>3</w:t>
      </w:r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Pr="00004D9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Instituciones</w:t>
      </w:r>
      <w:r>
        <w:rPr>
          <w:rFonts w:ascii="Arial" w:eastAsia="Times New Roman" w:hAnsi="Arial" w:cs="Arial"/>
          <w:szCs w:val="24"/>
          <w:lang w:val="es-MX"/>
        </w:rPr>
        <w:t>: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Centro de Toxicología y Biomedicina (TOXIMED). Universidad de Ciencias Médicas de Santiago de Cuba.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Departamento de Farmacia. Universidad de Oriente.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 xml:space="preserve">Laboratorio </w:t>
      </w:r>
      <w:r w:rsidR="006C68FB">
        <w:rPr>
          <w:rFonts w:ascii="Arial" w:eastAsia="Times New Roman" w:hAnsi="Arial" w:cs="Arial"/>
          <w:szCs w:val="24"/>
          <w:lang w:val="es-MX"/>
        </w:rPr>
        <w:t>Farmacéutico Oriente</w:t>
      </w:r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3C22C5" w:rsidRPr="00AA48D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AA48DF">
        <w:rPr>
          <w:rFonts w:ascii="Arial" w:eastAsia="Times New Roman" w:hAnsi="Arial" w:cs="Arial"/>
          <w:b/>
          <w:sz w:val="24"/>
          <w:szCs w:val="24"/>
          <w:lang w:val="es-MX"/>
        </w:rPr>
        <w:t>Resumen</w:t>
      </w:r>
    </w:p>
    <w:p w:rsidR="00095831" w:rsidRPr="00095831" w:rsidRDefault="003C22C5" w:rsidP="00095831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Introducción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Las enfermedades neurodegenerativas se caracterizan por procesos fisiopatológicos complejos que incluyen estrés oxidativo,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neuroinflamación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excitotoxicidad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y alteraciones en la neurotransmisión. En este contexto, las plantas medicinales constituyen una fuente relevante de compuestos bioactivos con potencial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neuroprotector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.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Cymbopogon</w:t>
      </w:r>
      <w:proofErr w:type="spellEnd"/>
      <w:r w:rsidR="00095831" w:rsidRPr="00095831">
        <w:rPr>
          <w:rFonts w:ascii="Arial" w:eastAsia="Times New Roman" w:hAnsi="Arial" w:cs="Arial"/>
          <w:i/>
          <w:szCs w:val="24"/>
          <w:lang w:val="es-MX"/>
        </w:rPr>
        <w:t xml:space="preserve">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citratus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(DC.)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Stapf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, conocida como caña santa, es una especie ampliamente utilizada en la medicina tradicional y rica en metabolitos como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monoterpenos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, flavonoides y compuestos fenólicos con propiedades antioxidantes y antiinflamatorias. El objetivo del presente estudio fue evaluar </w:t>
      </w:r>
      <w:r w:rsidR="00095831" w:rsidRPr="00095831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el potencial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neuroprotector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de metabolitos bioactivos reportados en esta planta mediante la predicción de sus posibles dianas moleculares.</w:t>
      </w:r>
      <w:r w:rsidR="00095831">
        <w:rPr>
          <w:rFonts w:ascii="Arial" w:eastAsia="Times New Roman" w:hAnsi="Arial" w:cs="Arial"/>
          <w:szCs w:val="24"/>
          <w:lang w:val="es-MX"/>
        </w:rPr>
        <w:t xml:space="preserve"> </w:t>
      </w:r>
      <w:r w:rsidR="00095831" w:rsidRPr="00095831">
        <w:rPr>
          <w:rFonts w:ascii="Arial" w:eastAsia="Times New Roman" w:hAnsi="Arial" w:cs="Arial"/>
          <w:b/>
          <w:szCs w:val="24"/>
          <w:lang w:val="es-MX"/>
        </w:rPr>
        <w:t>Metodología</w:t>
      </w:r>
      <w:r w:rsidR="00095831" w:rsidRPr="00095831">
        <w:rPr>
          <w:rFonts w:ascii="Arial" w:eastAsia="Times New Roman" w:hAnsi="Arial" w:cs="Arial"/>
          <w:szCs w:val="24"/>
          <w:lang w:val="es-MX"/>
        </w:rPr>
        <w:t>:</w:t>
      </w:r>
      <w:r w:rsidR="00095831">
        <w:rPr>
          <w:rFonts w:ascii="Arial" w:eastAsia="Times New Roman" w:hAnsi="Arial" w:cs="Arial"/>
          <w:szCs w:val="24"/>
          <w:lang w:val="es-MX"/>
        </w:rPr>
        <w:t xml:space="preserve"> 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Se seleccionaron compuestos representativos descritos para </w:t>
      </w:r>
      <w:r w:rsidR="00095831" w:rsidRPr="00095831">
        <w:rPr>
          <w:rFonts w:ascii="Arial" w:eastAsia="Times New Roman" w:hAnsi="Arial" w:cs="Arial"/>
          <w:i/>
          <w:szCs w:val="24"/>
          <w:lang w:val="es-MX"/>
        </w:rPr>
        <w:t xml:space="preserve">C.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citratus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, incluyendo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monoterpenos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y flavonoides. Las estructuras químicas fueron obtenidas de bases de datos especializadas y posteriormente analizadas mediante herramientas de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quimioinformática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para predecir posibles proteínas blanco asociadas con procesos neurodegenerativos.</w:t>
      </w:r>
      <w:r w:rsidR="00095831">
        <w:rPr>
          <w:rFonts w:ascii="Arial" w:eastAsia="Times New Roman" w:hAnsi="Arial" w:cs="Arial"/>
          <w:szCs w:val="24"/>
          <w:lang w:val="es-MX"/>
        </w:rPr>
        <w:t xml:space="preserve"> </w:t>
      </w:r>
      <w:r w:rsidR="00095831" w:rsidRPr="00095831">
        <w:rPr>
          <w:rFonts w:ascii="Arial" w:eastAsia="Times New Roman" w:hAnsi="Arial" w:cs="Arial"/>
          <w:szCs w:val="24"/>
          <w:lang w:val="es-MX"/>
        </w:rPr>
        <w:t>Resultados:</w:t>
      </w:r>
      <w:r w:rsidR="00095831">
        <w:rPr>
          <w:rFonts w:ascii="Arial" w:eastAsia="Times New Roman" w:hAnsi="Arial" w:cs="Arial"/>
          <w:szCs w:val="24"/>
          <w:lang w:val="es-MX"/>
        </w:rPr>
        <w:t xml:space="preserve"> 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El análisis predijo interacciones potenciales entre varios metabolitos de la planta y proteínas clave relacionadas con la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neuroprotección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. Entre las principales dianas identificadas se encuentran la acetilcolinesterasa, mediadores de la respuesta antioxidante como la vía Nrf2–ARE y proteínas implicadas en la regulación de la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neuroinflamación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como NF-</w:t>
      </w:r>
      <w:r w:rsidR="00095831" w:rsidRPr="00095831">
        <w:rPr>
          <w:rFonts w:ascii="Arial" w:eastAsia="Times New Roman" w:hAnsi="Arial" w:cs="Arial"/>
          <w:szCs w:val="24"/>
        </w:rPr>
        <w:t>κ</w:t>
      </w:r>
      <w:r w:rsidR="00095831" w:rsidRPr="00095831">
        <w:rPr>
          <w:rFonts w:ascii="Arial" w:eastAsia="Times New Roman" w:hAnsi="Arial" w:cs="Arial"/>
          <w:szCs w:val="24"/>
          <w:lang w:val="es-MX"/>
        </w:rPr>
        <w:t>B. Asimismo, se identificaron posibles interacciones con receptores neuronales asociados a la modulación de la excitabilidad sináptica.</w:t>
      </w:r>
      <w:r w:rsidR="00095831">
        <w:rPr>
          <w:rFonts w:ascii="Arial" w:eastAsia="Times New Roman" w:hAnsi="Arial" w:cs="Arial"/>
          <w:szCs w:val="24"/>
          <w:lang w:val="es-MX"/>
        </w:rPr>
        <w:t xml:space="preserve"> </w:t>
      </w:r>
      <w:r w:rsidR="00095831" w:rsidRPr="00095831">
        <w:rPr>
          <w:rFonts w:ascii="Arial" w:eastAsia="Times New Roman" w:hAnsi="Arial" w:cs="Arial"/>
          <w:b/>
          <w:szCs w:val="24"/>
          <w:lang w:val="es-MX"/>
        </w:rPr>
        <w:t>Conclusiones</w:t>
      </w:r>
      <w:r w:rsidR="00095831" w:rsidRPr="00095831">
        <w:rPr>
          <w:rFonts w:ascii="Arial" w:eastAsia="Times New Roman" w:hAnsi="Arial" w:cs="Arial"/>
          <w:szCs w:val="24"/>
          <w:lang w:val="es-MX"/>
        </w:rPr>
        <w:t>:</w:t>
      </w:r>
      <w:r w:rsidR="00095831">
        <w:rPr>
          <w:rFonts w:ascii="Arial" w:eastAsia="Times New Roman" w:hAnsi="Arial" w:cs="Arial"/>
          <w:szCs w:val="24"/>
          <w:lang w:val="es-MX"/>
        </w:rPr>
        <w:t xml:space="preserve"> 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Los resultados </w:t>
      </w:r>
      <w:r w:rsidR="00095831" w:rsidRPr="00095831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sugieren que los compuestos bioactivos de </w:t>
      </w:r>
      <w:r w:rsidR="00095831" w:rsidRPr="00095831">
        <w:rPr>
          <w:rFonts w:ascii="Arial" w:eastAsia="Times New Roman" w:hAnsi="Arial" w:cs="Arial"/>
          <w:i/>
          <w:szCs w:val="24"/>
          <w:lang w:val="es-MX"/>
        </w:rPr>
        <w:t xml:space="preserve">C.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citratus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presentan un perfil farmacológico multi</w:t>
      </w:r>
      <w:r w:rsidR="00095831">
        <w:rPr>
          <w:rFonts w:ascii="Arial" w:eastAsia="Times New Roman" w:hAnsi="Arial" w:cs="Arial"/>
          <w:szCs w:val="24"/>
          <w:lang w:val="es-MX"/>
        </w:rPr>
        <w:t>diana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con potencial actividad </w:t>
      </w:r>
      <w:proofErr w:type="spellStart"/>
      <w:r w:rsidR="00095831" w:rsidRPr="00095831">
        <w:rPr>
          <w:rFonts w:ascii="Arial" w:eastAsia="Times New Roman" w:hAnsi="Arial" w:cs="Arial"/>
          <w:szCs w:val="24"/>
          <w:lang w:val="es-MX"/>
        </w:rPr>
        <w:t>neuroprotectora</w:t>
      </w:r>
      <w:proofErr w:type="spellEnd"/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. Estos hallazgos respaldan la relevancia farmacológica de la especie y la necesidad de estudios experimentales </w:t>
      </w:r>
      <w:r w:rsidR="00095831" w:rsidRPr="00095831">
        <w:rPr>
          <w:rFonts w:ascii="Arial" w:eastAsia="Times New Roman" w:hAnsi="Arial" w:cs="Arial"/>
          <w:i/>
          <w:szCs w:val="24"/>
          <w:lang w:val="es-MX"/>
        </w:rPr>
        <w:t>in vitro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e </w:t>
      </w:r>
      <w:r w:rsidR="00095831" w:rsidRPr="00095831">
        <w:rPr>
          <w:rFonts w:ascii="Arial" w:eastAsia="Times New Roman" w:hAnsi="Arial" w:cs="Arial"/>
          <w:i/>
          <w:szCs w:val="24"/>
          <w:lang w:val="es-MX"/>
        </w:rPr>
        <w:t>in vivo</w:t>
      </w:r>
      <w:r w:rsidR="00095831" w:rsidRPr="00095831">
        <w:rPr>
          <w:rFonts w:ascii="Arial" w:eastAsia="Times New Roman" w:hAnsi="Arial" w:cs="Arial"/>
          <w:szCs w:val="24"/>
          <w:lang w:val="es-MX"/>
        </w:rPr>
        <w:t xml:space="preserve"> para validar estos resultados.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751C75" w:rsidRPr="00F74168" w:rsidRDefault="003C22C5" w:rsidP="00095831">
      <w:pPr>
        <w:jc w:val="both"/>
        <w:rPr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Palabras clave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 w:rsidR="00095831" w:rsidRPr="00095831">
        <w:rPr>
          <w:rFonts w:ascii="Arial" w:eastAsia="Times New Roman" w:hAnsi="Arial" w:cs="Arial"/>
          <w:i/>
          <w:szCs w:val="24"/>
          <w:lang w:val="es-MX"/>
        </w:rPr>
        <w:t>Cymbopogon</w:t>
      </w:r>
      <w:proofErr w:type="spellEnd"/>
      <w:r w:rsidR="00095831" w:rsidRPr="00095831">
        <w:rPr>
          <w:rFonts w:ascii="Arial" w:eastAsia="Times New Roman" w:hAnsi="Arial" w:cs="Arial"/>
          <w:i/>
          <w:szCs w:val="24"/>
          <w:lang w:val="es-MX"/>
        </w:rPr>
        <w:t xml:space="preserve"> citratus</w:t>
      </w:r>
      <w:bookmarkStart w:id="0" w:name="_GoBack"/>
      <w:bookmarkEnd w:id="0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6C68FB">
        <w:rPr>
          <w:rFonts w:ascii="Arial" w:eastAsia="Times New Roman" w:hAnsi="Arial" w:cs="Arial"/>
          <w:szCs w:val="24"/>
          <w:lang w:val="es-MX"/>
        </w:rPr>
        <w:t>neuroprotector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r w:rsidRPr="00AA48DF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Pr="00AA48DF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>, compuestos</w:t>
      </w:r>
      <w:r>
        <w:rPr>
          <w:rFonts w:ascii="Arial" w:eastAsia="Times New Roman" w:hAnsi="Arial" w:cs="Arial"/>
          <w:szCs w:val="24"/>
          <w:lang w:val="es-MX"/>
        </w:rPr>
        <w:t xml:space="preserve"> bioactivos, dianas moleculares</w:t>
      </w:r>
      <w:r w:rsidRPr="00E069FF">
        <w:rPr>
          <w:rFonts w:ascii="Arial" w:eastAsia="Times New Roman" w:hAnsi="Arial" w:cs="Arial"/>
          <w:szCs w:val="24"/>
          <w:lang w:val="es-MX"/>
        </w:rPr>
        <w:t>. </w:t>
      </w:r>
    </w:p>
    <w:sectPr w:rsidR="00751C75" w:rsidRPr="00F74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B7468"/>
    <w:multiLevelType w:val="hybridMultilevel"/>
    <w:tmpl w:val="4D0C32EE"/>
    <w:lvl w:ilvl="0" w:tplc="3EA4760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68"/>
    <w:rsid w:val="00095831"/>
    <w:rsid w:val="003C22C5"/>
    <w:rsid w:val="005636C2"/>
    <w:rsid w:val="006C68FB"/>
    <w:rsid w:val="00751C75"/>
    <w:rsid w:val="00A8107B"/>
    <w:rsid w:val="00E02206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27B7"/>
  <w15:chartTrackingRefBased/>
  <w15:docId w15:val="{DBF0F976-394D-4EE9-AFA0-AA285F79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8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2026-03-14T17:45:00Z</dcterms:created>
  <dcterms:modified xsi:type="dcterms:W3CDTF">2026-03-14T17:45:00Z</dcterms:modified>
</cp:coreProperties>
</file>