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42" w:rsidRPr="00F03D42" w:rsidRDefault="00F03D42" w:rsidP="00F03D42">
      <w:pPr>
        <w:spacing w:before="0" w:line="240" w:lineRule="auto"/>
        <w:ind w:right="0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F03D42">
        <w:rPr>
          <w:rFonts w:ascii="Arial" w:eastAsia="Times New Roman" w:hAnsi="Arial" w:cs="Arial"/>
          <w:b/>
          <w:sz w:val="28"/>
          <w:szCs w:val="28"/>
          <w:lang w:val="es-ES" w:eastAsia="es-ES"/>
        </w:rPr>
        <w:t>P</w:t>
      </w:r>
      <w:r w:rsidRPr="00F03D42">
        <w:rPr>
          <w:rFonts w:ascii="Arial" w:eastAsia="Times New Roman" w:hAnsi="Arial" w:cs="Arial"/>
          <w:b/>
          <w:sz w:val="28"/>
          <w:szCs w:val="28"/>
          <w:lang w:val="es-ES" w:eastAsia="es-ES"/>
        </w:rPr>
        <w:t>lan de actividades Cátedras del mes de enero</w:t>
      </w:r>
      <w:bookmarkStart w:id="0" w:name="_GoBack"/>
      <w:bookmarkEnd w:id="0"/>
    </w:p>
    <w:p w:rsidR="00F03D42" w:rsidRPr="00BC188B" w:rsidRDefault="00F03D42" w:rsidP="00F03D42">
      <w:pPr>
        <w:spacing w:before="0" w:line="240" w:lineRule="auto"/>
        <w:ind w:right="0"/>
        <w:jc w:val="left"/>
        <w:rPr>
          <w:rFonts w:ascii="Times New Roman" w:eastAsia="Times New Roman" w:hAnsi="Times New Roman"/>
          <w:sz w:val="32"/>
          <w:szCs w:val="24"/>
          <w:lang w:val="es-ES" w:eastAsia="es-ES"/>
        </w:rPr>
      </w:pPr>
      <w:r w:rsidRPr="00BC188B">
        <w:rPr>
          <w:rFonts w:ascii="Times New Roman" w:eastAsia="Times New Roman" w:hAnsi="Times New Roman"/>
          <w:sz w:val="32"/>
          <w:szCs w:val="24"/>
          <w:lang w:val="es-ES" w:eastAsia="es-ES"/>
        </w:rPr>
        <w:t> </w:t>
      </w:r>
    </w:p>
    <w:tbl>
      <w:tblPr>
        <w:tblStyle w:val="Sombreadoclaro-nfasis1"/>
        <w:tblW w:w="5664" w:type="pct"/>
        <w:tblLayout w:type="fixed"/>
        <w:tblLook w:val="04A0" w:firstRow="1" w:lastRow="0" w:firstColumn="1" w:lastColumn="0" w:noHBand="0" w:noVBand="1"/>
      </w:tblPr>
      <w:tblGrid>
        <w:gridCol w:w="925"/>
        <w:gridCol w:w="5251"/>
        <w:gridCol w:w="1907"/>
        <w:gridCol w:w="1643"/>
        <w:gridCol w:w="2158"/>
        <w:gridCol w:w="3441"/>
        <w:gridCol w:w="264"/>
        <w:gridCol w:w="264"/>
        <w:gridCol w:w="255"/>
      </w:tblGrid>
      <w:tr w:rsidR="00F03D42" w:rsidRPr="00F03D42" w:rsidTr="00F03D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355D3A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355D3A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1630" w:type="pct"/>
            <w:noWrap/>
            <w:hideMark/>
          </w:tcPr>
          <w:p w:rsidR="00F03D42" w:rsidRPr="00355D3A" w:rsidRDefault="00F03D42" w:rsidP="004E15DD">
            <w:pPr>
              <w:spacing w:before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355D3A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  <w:t xml:space="preserve">Actividades </w:t>
            </w:r>
          </w:p>
        </w:tc>
        <w:tc>
          <w:tcPr>
            <w:tcW w:w="592" w:type="pct"/>
            <w:noWrap/>
            <w:hideMark/>
          </w:tcPr>
          <w:p w:rsidR="00F03D42" w:rsidRPr="00355D3A" w:rsidRDefault="00F03D42" w:rsidP="004E15DD">
            <w:pPr>
              <w:spacing w:before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355D3A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510" w:type="pct"/>
            <w:noWrap/>
            <w:hideMark/>
          </w:tcPr>
          <w:p w:rsidR="00F03D42" w:rsidRPr="00355D3A" w:rsidRDefault="00F03D42" w:rsidP="004E15DD">
            <w:pPr>
              <w:spacing w:before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355D3A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  <w:t>Hora</w:t>
            </w:r>
          </w:p>
        </w:tc>
        <w:tc>
          <w:tcPr>
            <w:tcW w:w="670" w:type="pct"/>
            <w:noWrap/>
            <w:hideMark/>
          </w:tcPr>
          <w:p w:rsidR="00F03D42" w:rsidRPr="00355D3A" w:rsidRDefault="00F03D42" w:rsidP="004E15DD">
            <w:pPr>
              <w:spacing w:before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355D3A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val="es-ES" w:eastAsia="es-ES"/>
              </w:rPr>
              <w:t>Lugar</w:t>
            </w:r>
          </w:p>
        </w:tc>
        <w:tc>
          <w:tcPr>
            <w:tcW w:w="1068" w:type="pct"/>
            <w:noWrap/>
            <w:hideMark/>
          </w:tcPr>
          <w:p w:rsidR="00F03D42" w:rsidRPr="00355D3A" w:rsidRDefault="00F03D42" w:rsidP="004E15DD">
            <w:pPr>
              <w:spacing w:before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55D3A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Responsables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03D42" w:rsidRPr="00F03D42" w:rsidTr="00F03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163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Matutino especial en conmemoración al natalicio de Julio A. Mella. </w:t>
            </w:r>
          </w:p>
        </w:tc>
        <w:tc>
          <w:tcPr>
            <w:tcW w:w="592" w:type="pct"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04/01/2017</w:t>
            </w:r>
          </w:p>
        </w:tc>
        <w:tc>
          <w:tcPr>
            <w:tcW w:w="51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11:30am</w:t>
            </w:r>
          </w:p>
        </w:tc>
        <w:tc>
          <w:tcPr>
            <w:tcW w:w="67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FCM Calixto García</w:t>
            </w:r>
          </w:p>
        </w:tc>
        <w:tc>
          <w:tcPr>
            <w:tcW w:w="1068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Cátedra Medio Ambiente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03D42" w:rsidRPr="00F03D42" w:rsidTr="00F03D4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163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“Taller </w:t>
            </w:r>
            <w:proofErr w:type="spellStart"/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digitopuntura</w:t>
            </w:r>
            <w:proofErr w:type="spellEnd"/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” “ </w:t>
            </w:r>
            <w:proofErr w:type="spellStart"/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Digitopuntura</w:t>
            </w:r>
            <w:proofErr w:type="spellEnd"/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, puntos más utilizados en afecciones comunes </w:t>
            </w:r>
          </w:p>
        </w:tc>
        <w:tc>
          <w:tcPr>
            <w:tcW w:w="592" w:type="pct"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14/01/2017</w:t>
            </w:r>
          </w:p>
        </w:tc>
        <w:tc>
          <w:tcPr>
            <w:tcW w:w="51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9-11am</w:t>
            </w:r>
          </w:p>
        </w:tc>
        <w:tc>
          <w:tcPr>
            <w:tcW w:w="67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FCM Calixto García</w:t>
            </w:r>
          </w:p>
        </w:tc>
        <w:tc>
          <w:tcPr>
            <w:tcW w:w="1068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Cátedra  Medicina Natural y Tradicional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F03D42" w:rsidRPr="00F03D42" w:rsidTr="00F03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163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Matutino por el "</w:t>
            </w:r>
            <w:proofErr w:type="spellStart"/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Dia</w:t>
            </w:r>
            <w:proofErr w:type="spellEnd"/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de la Ciencia"</w:t>
            </w:r>
          </w:p>
        </w:tc>
        <w:tc>
          <w:tcPr>
            <w:tcW w:w="592" w:type="pct"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09/01/2017</w:t>
            </w:r>
          </w:p>
        </w:tc>
        <w:tc>
          <w:tcPr>
            <w:tcW w:w="51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11:30am</w:t>
            </w:r>
          </w:p>
        </w:tc>
        <w:tc>
          <w:tcPr>
            <w:tcW w:w="67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FCM Calixto García</w:t>
            </w:r>
          </w:p>
        </w:tc>
        <w:tc>
          <w:tcPr>
            <w:tcW w:w="1068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Cátedra Dr. "Mario Muñoz Monroy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03D42" w:rsidRPr="00F03D42" w:rsidTr="00F03D4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163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Jornada de Docencia por la Convención “Calixto García” </w:t>
            </w:r>
          </w:p>
        </w:tc>
        <w:tc>
          <w:tcPr>
            <w:tcW w:w="59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Enero de 2017</w:t>
            </w:r>
          </w:p>
        </w:tc>
        <w:tc>
          <w:tcPr>
            <w:tcW w:w="51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8:30 am a 4pm</w:t>
            </w:r>
          </w:p>
        </w:tc>
        <w:tc>
          <w:tcPr>
            <w:tcW w:w="67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FCM Calixto García</w:t>
            </w:r>
          </w:p>
        </w:tc>
        <w:tc>
          <w:tcPr>
            <w:tcW w:w="1068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Cátedra  Bioética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03D42" w:rsidRPr="00F03D42" w:rsidTr="00F03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63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Presentación de Ponencias y Trabajos de la Convención  “Calixto García”</w:t>
            </w:r>
          </w:p>
        </w:tc>
        <w:tc>
          <w:tcPr>
            <w:tcW w:w="59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Enero de 2017</w:t>
            </w:r>
          </w:p>
        </w:tc>
        <w:tc>
          <w:tcPr>
            <w:tcW w:w="51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8:30 am a 4pm</w:t>
            </w:r>
          </w:p>
        </w:tc>
        <w:tc>
          <w:tcPr>
            <w:tcW w:w="67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FCM Calixto García</w:t>
            </w:r>
          </w:p>
        </w:tc>
        <w:tc>
          <w:tcPr>
            <w:tcW w:w="1068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Cátedra Medicina Natural y Tradicional y Medio Ambiente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03D42" w:rsidRPr="00F03D42" w:rsidTr="00F03D4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63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Cursos de Post grado en la Convención “Calixto García”</w:t>
            </w:r>
          </w:p>
        </w:tc>
        <w:tc>
          <w:tcPr>
            <w:tcW w:w="59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Enero de 2017</w:t>
            </w:r>
          </w:p>
        </w:tc>
        <w:tc>
          <w:tcPr>
            <w:tcW w:w="51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8:30 am a 4pm</w:t>
            </w:r>
          </w:p>
        </w:tc>
        <w:tc>
          <w:tcPr>
            <w:tcW w:w="67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FCM Calixto García</w:t>
            </w:r>
          </w:p>
        </w:tc>
        <w:tc>
          <w:tcPr>
            <w:tcW w:w="1068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Cátedra Medicina Natural y Tradicional y Medio Ambiente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03D42" w:rsidRPr="00F03D42" w:rsidTr="00F03D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  <w:t>7</w:t>
            </w:r>
          </w:p>
        </w:tc>
        <w:tc>
          <w:tcPr>
            <w:tcW w:w="163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Acto político cultural por el 162 Aniversario del  Natalicio de José Martí.</w:t>
            </w:r>
          </w:p>
        </w:tc>
        <w:tc>
          <w:tcPr>
            <w:tcW w:w="592" w:type="pct"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27/01/2017</w:t>
            </w:r>
          </w:p>
        </w:tc>
        <w:tc>
          <w:tcPr>
            <w:tcW w:w="51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2:pm</w:t>
            </w:r>
          </w:p>
        </w:tc>
        <w:tc>
          <w:tcPr>
            <w:tcW w:w="67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Explanada del Jardín Martiano FCM Calixto </w:t>
            </w: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García</w:t>
            </w:r>
          </w:p>
        </w:tc>
        <w:tc>
          <w:tcPr>
            <w:tcW w:w="1068" w:type="pct"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Cátedra  Martiana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  <w:tr w:rsidR="00F03D42" w:rsidRPr="00F03D42" w:rsidTr="00F03D4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63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59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51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670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68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2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79" w:type="pct"/>
            <w:noWrap/>
            <w:hideMark/>
          </w:tcPr>
          <w:p w:rsidR="00F03D42" w:rsidRPr="00F03D42" w:rsidRDefault="00F03D42" w:rsidP="004E15DD">
            <w:pPr>
              <w:spacing w:before="0"/>
              <w:ind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F03D42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</w:tr>
    </w:tbl>
    <w:p w:rsidR="001E6FFA" w:rsidRDefault="001E6FFA"/>
    <w:sectPr w:rsidR="001E6FFA" w:rsidSect="00F03D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42"/>
    <w:rsid w:val="001E6FFA"/>
    <w:rsid w:val="00355D3A"/>
    <w:rsid w:val="00F0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2"/>
    <w:pPr>
      <w:spacing w:before="120" w:after="0"/>
      <w:ind w:right="-113"/>
      <w:jc w:val="center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F03D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F03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2"/>
    <w:pPr>
      <w:spacing w:before="120" w:after="0"/>
      <w:ind w:right="-113"/>
      <w:jc w:val="center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F03D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F03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</dc:creator>
  <cp:lastModifiedBy>Gise</cp:lastModifiedBy>
  <cp:revision>2</cp:revision>
  <dcterms:created xsi:type="dcterms:W3CDTF">2017-01-27T17:32:00Z</dcterms:created>
  <dcterms:modified xsi:type="dcterms:W3CDTF">2017-01-27T17:35:00Z</dcterms:modified>
</cp:coreProperties>
</file>